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Mar>
          <w:top w:w="15" w:type="dxa"/>
          <w:left w:w="15" w:type="dxa"/>
          <w:bottom w:w="15" w:type="dxa"/>
          <w:right w:w="15" w:type="dxa"/>
        </w:tblCellMar>
        <w:tblLook w:val="04A0" w:firstRow="1" w:lastRow="0" w:firstColumn="1" w:lastColumn="0" w:noHBand="0" w:noVBand="1"/>
      </w:tblPr>
      <w:tblGrid>
        <w:gridCol w:w="8003"/>
      </w:tblGrid>
      <w:tr w:rsidR="00261172" w:rsidRPr="00261172" w:rsidTr="00261172">
        <w:trPr>
          <w:jc w:val="center"/>
        </w:trPr>
        <w:tc>
          <w:tcPr>
            <w:tcW w:w="0" w:type="auto"/>
            <w:vAlign w:val="center"/>
            <w:hideMark/>
          </w:tcPr>
          <w:p w:rsidR="00261172" w:rsidRPr="00261172" w:rsidRDefault="00261172" w:rsidP="00261172">
            <w:pPr>
              <w:widowControl/>
              <w:spacing w:line="480" w:lineRule="atLeast"/>
              <w:jc w:val="center"/>
              <w:rPr>
                <w:rFonts w:ascii="宋体" w:eastAsia="宋体" w:hAnsi="宋体" w:cs="宋体"/>
                <w:b/>
                <w:bCs/>
                <w:color w:val="FF0000"/>
                <w:kern w:val="0"/>
                <w:sz w:val="32"/>
                <w:szCs w:val="32"/>
              </w:rPr>
            </w:pPr>
            <w:r w:rsidRPr="00261172">
              <w:rPr>
                <w:rFonts w:ascii="宋体" w:eastAsia="宋体" w:hAnsi="宋体" w:cs="宋体" w:hint="eastAsia"/>
                <w:b/>
                <w:bCs/>
                <w:color w:val="FF0000"/>
                <w:kern w:val="0"/>
                <w:sz w:val="32"/>
                <w:szCs w:val="32"/>
              </w:rPr>
              <w:t>中华人民共和国招标投标法实施条例</w:t>
            </w:r>
          </w:p>
          <w:p w:rsidR="00261172" w:rsidRPr="00261172" w:rsidRDefault="00041C57" w:rsidP="00261172">
            <w:pPr>
              <w:widowControl/>
              <w:spacing w:line="480" w:lineRule="atLeast"/>
              <w:jc w:val="center"/>
              <w:rPr>
                <w:rFonts w:ascii="宋体" w:eastAsia="宋体" w:hAnsi="宋体" w:cs="宋体"/>
                <w:b/>
                <w:bCs/>
                <w:color w:val="FF0000"/>
                <w:kern w:val="0"/>
                <w:sz w:val="32"/>
                <w:szCs w:val="32"/>
              </w:rPr>
            </w:pPr>
            <w:r>
              <w:rPr>
                <w:rFonts w:ascii="宋体" w:eastAsia="宋体" w:hAnsi="宋体" w:cs="宋体"/>
                <w:b/>
                <w:bCs/>
                <w:color w:val="FF0000"/>
                <w:kern w:val="0"/>
                <w:sz w:val="32"/>
                <w:szCs w:val="32"/>
              </w:rPr>
              <w:pict>
                <v:rect id="_x0000_i1025" style="width:0;height:.75pt" o:hralign="center" o:hrstd="t" o:hrnoshade="t" o:hr="t" fillcolor="#ddd" stroked="f"/>
              </w:pict>
            </w:r>
          </w:p>
        </w:tc>
      </w:tr>
      <w:tr w:rsidR="00261172" w:rsidRPr="00261172" w:rsidTr="00261172">
        <w:trPr>
          <w:jc w:val="center"/>
        </w:trPr>
        <w:tc>
          <w:tcPr>
            <w:tcW w:w="0" w:type="auto"/>
            <w:vAlign w:val="center"/>
            <w:hideMark/>
          </w:tcPr>
          <w:tbl>
            <w:tblPr>
              <w:tblW w:w="4800" w:type="pct"/>
              <w:jc w:val="center"/>
              <w:tblCellMar>
                <w:top w:w="15" w:type="dxa"/>
                <w:left w:w="15" w:type="dxa"/>
                <w:bottom w:w="15" w:type="dxa"/>
                <w:right w:w="15" w:type="dxa"/>
              </w:tblCellMar>
              <w:tblLook w:val="04A0" w:firstRow="1" w:lastRow="0" w:firstColumn="1" w:lastColumn="0" w:noHBand="0" w:noVBand="1"/>
            </w:tblPr>
            <w:tblGrid>
              <w:gridCol w:w="1913"/>
              <w:gridCol w:w="1913"/>
              <w:gridCol w:w="1914"/>
              <w:gridCol w:w="1914"/>
            </w:tblGrid>
            <w:tr w:rsidR="00261172" w:rsidRPr="00261172" w:rsidTr="00041C57">
              <w:trPr>
                <w:jc w:val="center"/>
              </w:trPr>
              <w:tc>
                <w:tcPr>
                  <w:tcW w:w="1250" w:type="pct"/>
                  <w:vAlign w:val="center"/>
                </w:tcPr>
                <w:p w:rsidR="00261172" w:rsidRPr="00261172" w:rsidRDefault="00261172" w:rsidP="00261172">
                  <w:pPr>
                    <w:widowControl/>
                    <w:spacing w:line="324" w:lineRule="atLeast"/>
                    <w:jc w:val="left"/>
                    <w:rPr>
                      <w:rFonts w:ascii="宋体" w:eastAsia="宋体" w:hAnsi="宋体" w:cs="宋体"/>
                      <w:color w:val="3D3D3D"/>
                      <w:kern w:val="0"/>
                      <w:sz w:val="18"/>
                      <w:szCs w:val="18"/>
                    </w:rPr>
                  </w:pPr>
                  <w:bookmarkStart w:id="0" w:name="_GoBack"/>
                  <w:bookmarkEnd w:id="0"/>
                </w:p>
              </w:tc>
              <w:tc>
                <w:tcPr>
                  <w:tcW w:w="0" w:type="auto"/>
                  <w:vAlign w:val="center"/>
                </w:tcPr>
                <w:p w:rsidR="00261172" w:rsidRPr="00261172" w:rsidRDefault="00261172" w:rsidP="00261172">
                  <w:pPr>
                    <w:widowControl/>
                    <w:spacing w:line="324" w:lineRule="atLeast"/>
                    <w:jc w:val="left"/>
                    <w:rPr>
                      <w:rFonts w:ascii="宋体" w:eastAsia="宋体" w:hAnsi="宋体" w:cs="宋体"/>
                      <w:color w:val="3D3D3D"/>
                      <w:kern w:val="0"/>
                      <w:sz w:val="18"/>
                      <w:szCs w:val="18"/>
                    </w:rPr>
                  </w:pPr>
                </w:p>
              </w:tc>
              <w:tc>
                <w:tcPr>
                  <w:tcW w:w="0" w:type="auto"/>
                  <w:vAlign w:val="center"/>
                </w:tcPr>
                <w:p w:rsidR="00261172" w:rsidRPr="00261172" w:rsidRDefault="00261172" w:rsidP="00261172">
                  <w:pPr>
                    <w:widowControl/>
                    <w:spacing w:line="324" w:lineRule="atLeast"/>
                    <w:jc w:val="left"/>
                    <w:rPr>
                      <w:rFonts w:ascii="宋体" w:eastAsia="宋体" w:hAnsi="宋体" w:cs="宋体"/>
                      <w:color w:val="3D3D3D"/>
                      <w:kern w:val="0"/>
                      <w:sz w:val="18"/>
                      <w:szCs w:val="18"/>
                    </w:rPr>
                  </w:pPr>
                </w:p>
              </w:tc>
              <w:tc>
                <w:tcPr>
                  <w:tcW w:w="1250" w:type="pct"/>
                  <w:vAlign w:val="center"/>
                </w:tcPr>
                <w:p w:rsidR="00261172" w:rsidRPr="00261172" w:rsidRDefault="00261172" w:rsidP="00261172">
                  <w:pPr>
                    <w:widowControl/>
                    <w:spacing w:line="324" w:lineRule="atLeast"/>
                    <w:jc w:val="left"/>
                    <w:rPr>
                      <w:rFonts w:ascii="宋体" w:eastAsia="宋体" w:hAnsi="宋体" w:cs="宋体"/>
                      <w:color w:val="3D3D3D"/>
                      <w:kern w:val="0"/>
                      <w:sz w:val="18"/>
                      <w:szCs w:val="18"/>
                    </w:rPr>
                  </w:pPr>
                </w:p>
              </w:tc>
            </w:tr>
          </w:tbl>
          <w:p w:rsidR="00261172" w:rsidRPr="00261172" w:rsidRDefault="00261172" w:rsidP="00261172">
            <w:pPr>
              <w:widowControl/>
              <w:spacing w:after="240" w:line="324" w:lineRule="atLeast"/>
              <w:jc w:val="left"/>
              <w:rPr>
                <w:rFonts w:ascii="宋体" w:eastAsia="宋体" w:hAnsi="宋体" w:cs="宋体"/>
                <w:color w:val="3D3D3D"/>
                <w:kern w:val="0"/>
                <w:sz w:val="18"/>
                <w:szCs w:val="18"/>
              </w:rPr>
            </w:pPr>
          </w:p>
        </w:tc>
      </w:tr>
      <w:tr w:rsidR="00261172" w:rsidRPr="00261172" w:rsidTr="00261172">
        <w:trPr>
          <w:jc w:val="center"/>
        </w:trPr>
        <w:tc>
          <w:tcPr>
            <w:tcW w:w="0" w:type="auto"/>
            <w:vAlign w:val="center"/>
            <w:hideMark/>
          </w:tcPr>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center"/>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szCs w:val="28"/>
              </w:rPr>
              <w:t>中华人民共和国招标投标法实施条例</w:t>
            </w:r>
          </w:p>
          <w:p w:rsidR="00261172" w:rsidRPr="00261172" w:rsidRDefault="00261172" w:rsidP="00261172">
            <w:pPr>
              <w:widowControl/>
              <w:spacing w:line="420" w:lineRule="atLeast"/>
              <w:jc w:val="center"/>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第一章　总　　则</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第一条　为了规范招标投标活动，根据《中华人民共和国招标投标法》（以下简称招标投标法），制定本条例。</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第二条　招标投标法第三条所称工程建设项目，是指工程以及与工程建设有关的货物、服务。</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第三条　依法必须进行招标的工程建设项目的具体范围和规模标准，由国务院发展改革部门会同国务院有关部门制订，报国务院批准后公布施行。</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第四条　国务院发展改革部门指导和协调全国招标投标工作，对国家重大建设项目的工程招标投标活动实施监督检查。国务院工业和信息化、住房城乡建设、交通运输、铁道、水利、</w:t>
            </w:r>
            <w:r w:rsidRPr="00261172">
              <w:rPr>
                <w:rFonts w:ascii="仿宋_GB2312" w:eastAsia="仿宋_GB2312" w:hAnsi="宋体" w:cs="宋体" w:hint="eastAsia"/>
                <w:color w:val="3D3D3D"/>
                <w:kern w:val="0"/>
                <w:sz w:val="28"/>
                <w:szCs w:val="28"/>
              </w:rPr>
              <w:lastRenderedPageBreak/>
              <w:t>商务等部门，按照规定的职责分工对有关招标投标活动实施监督。</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财政部门依法对实行招标投标的政府采购工程建设项目的预算执行情况和政府采购政策执行情况实施监督。</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监察机关依法对与招标投标活动有关的监察对象实施监察。</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第五条　设区的市级以上地方人民政府可以根据实际需要，建立统一规范的招标投标交易场所，为招标投标活动提供服务。招标投标交易场所不得与行政监督部门存在隶属关系，不得以营利为目的。</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国家鼓励利用信息网络进行电子招标投标。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第六条　禁止国家工作人员以任何方式非法干涉招标投标活动。</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center"/>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第二章</w:t>
            </w: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proofErr w:type="gramStart"/>
            <w:r w:rsidRPr="00261172">
              <w:rPr>
                <w:rFonts w:ascii="仿宋_GB2312" w:eastAsia="仿宋_GB2312" w:hAnsi="宋体" w:cs="宋体" w:hint="eastAsia"/>
                <w:color w:val="3D3D3D"/>
                <w:kern w:val="0"/>
                <w:sz w:val="28"/>
                <w:szCs w:val="28"/>
              </w:rPr>
              <w:t xml:space="preserve">招　　</w:t>
            </w:r>
            <w:proofErr w:type="gramEnd"/>
            <w:r w:rsidRPr="00261172">
              <w:rPr>
                <w:rFonts w:ascii="仿宋_GB2312" w:eastAsia="仿宋_GB2312" w:hAnsi="宋体" w:cs="宋体" w:hint="eastAsia"/>
                <w:color w:val="3D3D3D"/>
                <w:kern w:val="0"/>
                <w:sz w:val="28"/>
                <w:szCs w:val="28"/>
              </w:rPr>
              <w:t>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第七条　按照国家有关规定需要履行项目审批、核准手续的依法必须进行招标的项目，其招标范围、招标方式、招标组</w:t>
            </w:r>
            <w:r w:rsidRPr="00261172">
              <w:rPr>
                <w:rFonts w:ascii="仿宋_GB2312" w:eastAsia="仿宋_GB2312" w:hAnsi="宋体" w:cs="宋体" w:hint="eastAsia"/>
                <w:color w:val="3D3D3D"/>
                <w:kern w:val="0"/>
                <w:sz w:val="28"/>
                <w:szCs w:val="28"/>
              </w:rPr>
              <w:lastRenderedPageBreak/>
              <w:t>织形式应当</w:t>
            </w:r>
            <w:proofErr w:type="gramStart"/>
            <w:r w:rsidRPr="00261172">
              <w:rPr>
                <w:rFonts w:ascii="仿宋_GB2312" w:eastAsia="仿宋_GB2312" w:hAnsi="宋体" w:cs="宋体" w:hint="eastAsia"/>
                <w:color w:val="3D3D3D"/>
                <w:kern w:val="0"/>
                <w:sz w:val="28"/>
                <w:szCs w:val="28"/>
              </w:rPr>
              <w:t>报项目</w:t>
            </w:r>
            <w:proofErr w:type="gramEnd"/>
            <w:r w:rsidRPr="00261172">
              <w:rPr>
                <w:rFonts w:ascii="仿宋_GB2312" w:eastAsia="仿宋_GB2312" w:hAnsi="宋体" w:cs="宋体" w:hint="eastAsia"/>
                <w:color w:val="3D3D3D"/>
                <w:kern w:val="0"/>
                <w:sz w:val="28"/>
                <w:szCs w:val="28"/>
              </w:rPr>
              <w:t>审批、核准部门审批、核准。项目审批、核准部门应当及时将审批、核准确定的招标范围、招标方式、招标组织形式通报有关行政监督部门。</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第八条　国有资金占控股或者主导地位的依法必须进行招标的项目，应当公开招标；但有下列情形之一的，可以邀请招标：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（一）技术复杂、有特殊要求或者受自然环境限制，只有少量潜在投标人可供选择；</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（二）采用公开招标方式的费用占项目合同金额的比例过大。</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有前款第二项所列情形，属于本条例第七条规定的项目，由项目审批、核准部门在审批、核准项目时</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认定；其他项目由招标人申请有关行政监督部门</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认定。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第九条　除招标投标法第六十六条规定的可以不进行招标的特殊情况外，有下列情形之一的，可以不进行招标：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（一）需要采用不可替代的专利或者专有技术；</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（二）采购人依法能够自行建设、生产或者提供；</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（三）已通过招标方式选定的特许经营项目投资人依法能够自行建设、生产或者提供；</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（四）需要向原中标人采购工程、货物或者服务，否则将影响施工或者功能配套要求；</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（五）国家规定的其他特殊情形。</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招标人为适用前款规定弄虚作假的，属于招标投标法第四条规定的规避招标。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第十条　招标投标法第十二条第二款规定的招标人具有编制招标文件和组织评标能力，是指招标人具有与招标项目规模和复杂程度相适应的技术、经济等方面的专业人员。</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第十一条　招标代理机构的资格依照法律和国务院的规定由有关部门认定。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国务院住房城乡建设、商务、发展改革、工业和信息化等部门，按照规定的职责分工对招标代理机构依法实施监督管理。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第十二条　招标代理机构应当拥有一定数量的取得招标职业资格的专业人员。取得招标职业资格的具体办法由国务院人力资源社会保障部门会同国务院发展改革部门制定。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第十三条　招标代理机构在其资格许可和招标人委托的范围内开展招标代理业务，任何单位和个人不得非法干涉。</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招标代理机构代理招标业务，应当遵守招标投标法和本条例关于招标人的规定。招标代理机构不得在所代理的招标项目中投标或者代理投标，也不得为所代理的招标项目的投标人提供咨询。</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招标代理机构不得涂改、出租、出借、转让资格证书。</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第十四条　招标人应当与被委托的招标代理机构签订书面委托合同，合同约定的收费标准应当符合国家有关规定。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第十五条　公开招标的项目，应当依照招标投标法和本</w:t>
            </w:r>
            <w:r w:rsidRPr="00261172">
              <w:rPr>
                <w:rFonts w:ascii="仿宋_GB2312" w:eastAsia="仿宋_GB2312" w:hAnsi="宋体" w:cs="宋体" w:hint="eastAsia"/>
                <w:color w:val="3D3D3D"/>
                <w:kern w:val="0"/>
                <w:sz w:val="28"/>
                <w:szCs w:val="28"/>
              </w:rPr>
              <w:lastRenderedPageBreak/>
              <w:t>条例的规定发布招标公告、编制招标文件。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招标人采用资格预审办法对潜在投标人进行资格审查的，应当发布资格预审公告、编制资格预审文件。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编制依法必须进行招标的项目的资格预审文件和招标文件，应当使用国务院发展改革部门会同有关行政监督部门制定的标准文本。</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第十六条　招标人应当按照资格预审公告、招标公告或者投标邀请书规定的时间、地点发售资格预审文件或者招标文件。资格预审文件或者招标文件的发售期不得少于5日。</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招标人发售资格预审文件、招标文件收取的费用应当限于补偿印刷、邮寄的成本支出，不得以营利为目的。</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第十七条　招标人应当合理确定提交资格预审申请文件的时间。依法必须进行招标的项目提交资格预审申请文件的时间，</w:t>
            </w:r>
            <w:proofErr w:type="gramStart"/>
            <w:r w:rsidRPr="00261172">
              <w:rPr>
                <w:rFonts w:ascii="仿宋_GB2312" w:eastAsia="仿宋_GB2312" w:hAnsi="宋体" w:cs="宋体" w:hint="eastAsia"/>
                <w:color w:val="3D3D3D"/>
                <w:kern w:val="0"/>
                <w:sz w:val="28"/>
                <w:szCs w:val="28"/>
              </w:rPr>
              <w:t>自资格</w:t>
            </w:r>
            <w:proofErr w:type="gramEnd"/>
            <w:r w:rsidRPr="00261172">
              <w:rPr>
                <w:rFonts w:ascii="仿宋_GB2312" w:eastAsia="仿宋_GB2312" w:hAnsi="宋体" w:cs="宋体" w:hint="eastAsia"/>
                <w:color w:val="3D3D3D"/>
                <w:kern w:val="0"/>
                <w:sz w:val="28"/>
                <w:szCs w:val="28"/>
              </w:rPr>
              <w:t>预审文件停止发售之日起不得少于5日。</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第十八条　资格预审应当按照资格预审文件载明的标准和方法进行。</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国有资金占控股或者主导地位的依法必须进行招标的项</w:t>
            </w:r>
            <w:r w:rsidRPr="00261172">
              <w:rPr>
                <w:rFonts w:ascii="仿宋_GB2312" w:eastAsia="仿宋_GB2312" w:hAnsi="宋体" w:cs="宋体" w:hint="eastAsia"/>
                <w:color w:val="3D3D3D"/>
                <w:kern w:val="0"/>
                <w:sz w:val="28"/>
                <w:szCs w:val="28"/>
              </w:rPr>
              <w:lastRenderedPageBreak/>
              <w:t>目,招标人应当组建资格审查委员会审查资格预审申请文件。资格审查委员会及其成员应当遵守招标投标法和本条例有关评标委员会及其成员的规定。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第十九条　资格预审结束后，招标人应当及时</w:t>
            </w:r>
            <w:proofErr w:type="gramStart"/>
            <w:r w:rsidRPr="00261172">
              <w:rPr>
                <w:rFonts w:ascii="仿宋_GB2312" w:eastAsia="仿宋_GB2312" w:hAnsi="宋体" w:cs="宋体" w:hint="eastAsia"/>
                <w:color w:val="3D3D3D"/>
                <w:kern w:val="0"/>
                <w:sz w:val="28"/>
                <w:szCs w:val="28"/>
              </w:rPr>
              <w:t>向资格</w:t>
            </w:r>
            <w:proofErr w:type="gramEnd"/>
            <w:r w:rsidRPr="00261172">
              <w:rPr>
                <w:rFonts w:ascii="仿宋_GB2312" w:eastAsia="仿宋_GB2312" w:hAnsi="宋体" w:cs="宋体" w:hint="eastAsia"/>
                <w:color w:val="3D3D3D"/>
                <w:kern w:val="0"/>
                <w:sz w:val="28"/>
                <w:szCs w:val="28"/>
              </w:rPr>
              <w:t>预审申请人发出资格预审结果通知书。未通过资格预审的申请人不具有投标资格。</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通过资格预审的申请人少于3个的，应当重新招标。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第二十条　招标人采用资格后审办法对投标人进行资格审查的，应当在开标后由评标委员会按照招标文件规定的标准和方法对投标人的资格进行审查。</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第二十一条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第二十二条　潜在投标人或者其他利害关系人对资格预审文件有异议的，应当在提交资格预审申请文件截止时间2日前提出；对招标文件有异议的，应当在投标截止时间10日前提出。招标人应当自收到异议之日起3日内</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答复；</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答复前，应当暂停招标投标活动。</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第二十三条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第二十四条　招标人对招标项目划分标段的，应当遵守招标投标法的有关规定，不得利用划分标段限制或者排斥潜在投标人。依法必须进行招标的项目的招标人不得利用划分标段规避招标。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第二十五条　招标人应当在招标文件中载明投标有效期。投标有效期从提交投标文件的截止之日起算。</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第二十六条　招标人在招标文件中要求投标人提交投标保证金的，投标保证金不得超过招标项目估算价的2%。投标保证金有效期应当与投标有效期一致。</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依法必须进行招标的项目的境内投标单位，以现金或者支票形式提交的投标保证金应当从其基本账户转出。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招标人不得挪用投标保证金。</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第二十七条　招标人可以自行决定是否编制标底。一个招标项目只能有一个标底。标底必须保密。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接受委托编制标底的中介机构不得参加受托编制标底项目的投标，也不得为该项目的投标人编制投标文件或者提供咨询。</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招标人设有最高投标限价的，应当在招标文件中明确最</w:t>
            </w:r>
            <w:r w:rsidRPr="00261172">
              <w:rPr>
                <w:rFonts w:ascii="仿宋_GB2312" w:eastAsia="仿宋_GB2312" w:hAnsi="宋体" w:cs="宋体" w:hint="eastAsia"/>
                <w:color w:val="3D3D3D"/>
                <w:kern w:val="0"/>
                <w:sz w:val="28"/>
                <w:szCs w:val="28"/>
              </w:rPr>
              <w:lastRenderedPageBreak/>
              <w:t>高投标限价或者最高投标限价的计算方法。招标人不得规定最低投标限价。</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第二十八条　招标人不得组织单个或者部分潜在投标人踏勘项目现场。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第二十九条　招标人可以依法对工程以及与工程建设有关的货物、服务全部或者部分实行总承包招标。</w:t>
            </w:r>
            <w:proofErr w:type="gramStart"/>
            <w:r w:rsidRPr="00261172">
              <w:rPr>
                <w:rFonts w:ascii="仿宋_GB2312" w:eastAsia="仿宋_GB2312" w:hAnsi="宋体" w:cs="宋体" w:hint="eastAsia"/>
                <w:color w:val="3D3D3D"/>
                <w:kern w:val="0"/>
                <w:sz w:val="28"/>
                <w:szCs w:val="28"/>
              </w:rPr>
              <w:t>以暂估价</w:t>
            </w:r>
            <w:proofErr w:type="gramEnd"/>
            <w:r w:rsidRPr="00261172">
              <w:rPr>
                <w:rFonts w:ascii="仿宋_GB2312" w:eastAsia="仿宋_GB2312" w:hAnsi="宋体" w:cs="宋体" w:hint="eastAsia"/>
                <w:color w:val="3D3D3D"/>
                <w:kern w:val="0"/>
                <w:sz w:val="28"/>
                <w:szCs w:val="28"/>
              </w:rPr>
              <w:t>形式包括在总承包范围内的工程、货物、服务属于依法必须进行招标的项目范围且达到国家规定规模标准的，应当依法进行招标。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前款所称暂估价，是指总承包招标时不能确定价格而由招标人在招标文件中暂时估定的工程、货物、服务的金额。</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第三十条　对技术复杂或者无法精确拟定技术规格的项目，招标人可以分两阶段进行招标。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第一阶段，投标人按照招标公告或者投标邀请书的要求提交不带报价的技术建议，招标人根据投标人提交的技术建议确定技术标准和要求，编制招标文件。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第二阶段，招标人向在第一阶段提交技术建议的投标人提供招标文件，投标人按照招标文件的要求提交包括最终技术方案和投标报价的投标文件。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招标人要求投标人提交投标保证金的，应当在第二阶段提出。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第三十一条　招标人终止招标的，应当及时发布公告，或者以书面形式通知被邀请的或者已经获取资格预审文件、招标</w:t>
            </w:r>
            <w:r w:rsidRPr="00261172">
              <w:rPr>
                <w:rFonts w:ascii="仿宋_GB2312" w:eastAsia="仿宋_GB2312" w:hAnsi="宋体" w:cs="宋体" w:hint="eastAsia"/>
                <w:color w:val="3D3D3D"/>
                <w:kern w:val="0"/>
                <w:sz w:val="28"/>
                <w:szCs w:val="28"/>
              </w:rPr>
              <w:lastRenderedPageBreak/>
              <w:t>文件的潜在投标人。已经发售资格预审文件、招标文件或者已经收取投标保证金的，招标人应当及时退还所收取的资格预审文件、招标文件的费用，以及所收取的投标保证金及银行同期存款利息。</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第三十二条　招标人不得以不合理的条件限制、排斥潜在投标人或者投标人。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招标人有下列行为之一的，属于以不合理条件限制、排斥潜在投标人或者投标人：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（一）就同一招标项目向潜在投标人或者投标人提供有差别的项目信息；</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（二）设定的资格、技术、商务条件与招标项目的具体特点和实际需要不相适应或者与合同履行无关；</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（三）依法必须进行招标的项目以特定行政区域或者特定行业的业绩、奖项作为加分条件或者中标条件；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（四）对潜在投标人或者投标人采取不同的资格审查或者评标标准；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（五）限定或者指定特定的专利、商标、品牌、原产地或者供应商；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（六）依法必须进行招标的项目非法限定潜在投标人或者投标人的所有制形式或者组织形式；</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（七）以其他不合理条件限制、排斥潜在投标人或者投标人。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center"/>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第三章</w:t>
            </w: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proofErr w:type="gramStart"/>
            <w:r w:rsidRPr="00261172">
              <w:rPr>
                <w:rFonts w:ascii="仿宋_GB2312" w:eastAsia="仿宋_GB2312" w:hAnsi="宋体" w:cs="宋体" w:hint="eastAsia"/>
                <w:color w:val="3D3D3D"/>
                <w:kern w:val="0"/>
                <w:sz w:val="28"/>
                <w:szCs w:val="28"/>
              </w:rPr>
              <w:t xml:space="preserve">投　　</w:t>
            </w:r>
            <w:proofErr w:type="gramEnd"/>
            <w:r w:rsidRPr="00261172">
              <w:rPr>
                <w:rFonts w:ascii="仿宋_GB2312" w:eastAsia="仿宋_GB2312" w:hAnsi="宋体" w:cs="宋体" w:hint="eastAsia"/>
                <w:color w:val="3D3D3D"/>
                <w:kern w:val="0"/>
                <w:sz w:val="28"/>
                <w:szCs w:val="28"/>
              </w:rPr>
              <w:t>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第三十三条　投标人参加依法必须进行招标的项目的投标，不受地区或者部门的限制，任何单位和个人不得非法干涉。</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第三十四条　与招标人存在利害关系可能影响招标公正性的法人、其他组织或者个人，不得参加投标。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单位负责人为同一人或者存在控股、管理关系的不同单位，不得参加同一标段投标或者未划分标段的同一招标项目投标。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违反前两款规定的，相关投标均无效。</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第三十五条　投标人撤回已提交的投标文件，应当在投标截止时间前书面通知招标人。招标人已收取投标保证金的，应当自收到投标人书面撤回通知之日起5日内退还。</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投标截止后投标人撤销投标文件的，招标人可以不退还投标保证金。</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第三十六条　未通过资格预审的申请人提交的投标文件，以及逾期送达或者不按照招标文件要求密封的投标文件，招标人应当拒收。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招标人应当如实记载投标文件的送达时间和密封情况，并存档备查。</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第三十七条　招标人应当在资格预审公告、招标公告或者投标邀请书中载明是否接受联合体投标。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招标人接受联合体投标并进行资格预审的，联合体应当</w:t>
            </w:r>
            <w:r w:rsidRPr="00261172">
              <w:rPr>
                <w:rFonts w:ascii="仿宋_GB2312" w:eastAsia="仿宋_GB2312" w:hAnsi="宋体" w:cs="宋体" w:hint="eastAsia"/>
                <w:color w:val="3D3D3D"/>
                <w:kern w:val="0"/>
                <w:sz w:val="28"/>
                <w:szCs w:val="28"/>
              </w:rPr>
              <w:lastRenderedPageBreak/>
              <w:t>在提交资格预审申请文件前组成。资格预审后联合体增减、更换成员的，其投标无效。</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联合体各方在同一招标项目中以自己名义单独投标或者参加其他联合体投标的，相关投标均无效。</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第三十八条　投标人发生合并、分立、破产等重大变化的，应当及时书面告知招标人。投标人不再具备资格预审文件、招标文件规定的资格条件或者其投标影响招标公正性的，其投标无效。</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第三十九条　禁止投标人相互串通投标。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有下列情形之一的，属于投标人相互串通投标：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（一）投标人之间协商投标报价等投标文件的实质性内容；</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（二）投标人之间约定中标人；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（三）投标人之间约定部分投标人放弃投标或者中标；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（四）属于同一集团、协会、商会等组织成员的投标人按照该组织要求协同投标；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（五）投标人之间为谋取中标或者排斥特定投标人而采取的其他联合行动。</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第四十条　有下列情形之一的，视为投标人相互串通投标：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（一）不同投标人的投标文件由同一单位或者个人编制；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（二）不同投标人委托同一单位或者个人办理投标事宜；</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（三）不同投标人的投标文件载明的项目管理成员为同一人；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（四）不同投标人的投标文件异常一致或者投标报价呈规律性差异；</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（五）不同投标人的投标文件相互混装；</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（六）不同投标人的投标保证金从同一单位或者个人的账户转出。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第四十一条　禁止招标人与投标人串通投标。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有下列情形之一的，属于招标人与投标人串通投标：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（一）招标人在开标前开启投标文件并将有关信息泄露给其他投标人;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（二）招标人直接或者间接向投标人泄露标底、评标委员会成员等信息；</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（三）招标人明示或者暗示投标人压低或者抬高投标报价；</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（四）招标人授意投标人撤换、修改投标文件；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（五）招标人明示或者暗示投标人为特定投标人中标提供方便；</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（六）招标人与投标人为谋求特定投标人中标而采取的其他串通行为。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第四十二条　使用通过受让或者租借等方式获取的资格、资质证书投标的，属于招标投标法第三十三条规定的以他人</w:t>
            </w:r>
            <w:r w:rsidRPr="00261172">
              <w:rPr>
                <w:rFonts w:ascii="仿宋_GB2312" w:eastAsia="仿宋_GB2312" w:hAnsi="宋体" w:cs="宋体" w:hint="eastAsia"/>
                <w:color w:val="3D3D3D"/>
                <w:kern w:val="0"/>
                <w:sz w:val="28"/>
                <w:szCs w:val="28"/>
              </w:rPr>
              <w:lastRenderedPageBreak/>
              <w:t>名义投标。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投标人有下列情形之一的，属于招标投标法第三十三条规定的以其他方式弄虚作假的行为：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（一）使用伪造、变造的许可证件；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（二）提供虚假的财务状况或者业绩；</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（三）提供虚假的项目负责人或者主要技术人员简历、劳动关系证明；</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（四）提供虚假的信用状况；</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（五）其他弄虚作假的行为。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第四十三条　提交资格预审申请文件的申请人应当遵守招标投标法和本条例有关投标人的规定。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center"/>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第四章　开标、评标和中标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第四十四条　招标人应当按照招标文件规定的时间、地点开标。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投标人少于3个的，不得开标；招标人应当重新招标。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投标人对开标有异议的，应当在开标现场提出，招标人应当当场</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答复，并制作记录。</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第四十五条　国家实行统一的评标专家专业分类标准和管理办法。具体标准和办法由国务院发展改革部门会同国务院有关部门制定。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省级人民政府和国务院有关部门应当组建综合评标专家库。</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第四十六条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依法必须进行招标的项目的招标人非因招标投标法和本条例规定的事由，不得更换依法确定的评标委员会成员。更换评标委员会的专家成员应当依照前款规定进行。</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评标委员会成员与投标人有利害关系的，应当主动回避。</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有关行政监督部门应当按照规定的职责分工，对评标委员会成员的确定方式、评标专家的抽取和评标活动进行监督。行政监督部门的工作人员不得担任本部门负责监督项目的评标委员会成员。</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第四十七条　招标投标法第三十七条第三款所称特殊招标项目，是指技术复杂、专业性强或者国家有特殊要求，采取随机抽取方式确定的专家难以保证胜任评标工作的项目。</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第四十八条　招标人应当向评标委员会提供评标所必需的信息，但不得明示或者暗示其倾向或者排斥特定投标人。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招标人应当根据项目规模和技术复杂程度等因素合理确定评标时间。超过三分之一的评标委员会成员认为评标时间不够</w:t>
            </w:r>
            <w:r w:rsidRPr="00261172">
              <w:rPr>
                <w:rFonts w:ascii="仿宋_GB2312" w:eastAsia="仿宋_GB2312" w:hAnsi="宋体" w:cs="宋体" w:hint="eastAsia"/>
                <w:color w:val="3D3D3D"/>
                <w:kern w:val="0"/>
                <w:sz w:val="28"/>
                <w:szCs w:val="28"/>
              </w:rPr>
              <w:lastRenderedPageBreak/>
              <w:t>的，招标人应当适当延长。</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评标过程中，评标委员会成员有回避事由、擅离职守或者因健康等原因不能继续评标的，应当及时更换。被更换的评标委员会成员</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的评审结论无效，由更换后的评标委员会成员重新进行评审。</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第四十九条　评标委员会成员应当依照招标投标法和本条例的规定，按照招标文件规定的评标标准和方法，客观、公正地对投标文件提出评审意见。招标文件没有规定的评标标准和方法不得作为评标的依据。</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第五十条　招标项目设有标底的，招标人应当在开标时公布。标底只能作为评标的参考，不得以投标报价是否接近标底作为中标条件，也不得以投标报价超过标底上下浮动范围作为否决投标的条件。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第五十一条　有下列情形之一的，评标委员会应当否决其投标：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（一）投标文件未经投标单位盖章和单位负责人签字；</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（二）投标联合体没有提交共同投标协议；</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（三）投标人不符合国家或者招标文件规定的资格条件；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（四）同一投标人提交两个以上不同的投标文件或者投标报价，但招标文件要求提交备选投标的除外；</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（五）投标报价低于成本或者高于招标文件设定的最高投标限价；</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（六）投标文件没有对招标文件的实质性要求和条件</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响应；</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（七）投标人有串通投标、弄虚作假、行贿等违法行为。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第五十二条　投标文件中有含义不明确的内容、明显文字或者计算错误，评标委员会认为需要投标人</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必要澄清、说明的，应当书面通知该投标人。投标人的澄清、说明应当采用书面形式,并不得超出投标文件的范围或者改变投标文件的实质性内容。</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评标委员会不得暗示或者诱导投标人</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澄清、说明，不得接受投标人主动提出的澄清、说明。</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第五十三条　评标完成后，评标委员会应当向招标人提交书面评标报告和中标候选人名单。中标候选人应当不超过3个，并标明排序。</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评标报告应当由评标委员会全体成员签字。对评标结果有不同意见的评标委员会成员应当以书面形式说明其不同意见和理由，评标报告应当注明</w:t>
            </w:r>
            <w:proofErr w:type="gramStart"/>
            <w:r w:rsidRPr="00261172">
              <w:rPr>
                <w:rFonts w:ascii="仿宋_GB2312" w:eastAsia="仿宋_GB2312" w:hAnsi="宋体" w:cs="宋体" w:hint="eastAsia"/>
                <w:color w:val="3D3D3D"/>
                <w:kern w:val="0"/>
                <w:sz w:val="28"/>
                <w:szCs w:val="28"/>
              </w:rPr>
              <w:t>该不同</w:t>
            </w:r>
            <w:proofErr w:type="gramEnd"/>
            <w:r w:rsidRPr="00261172">
              <w:rPr>
                <w:rFonts w:ascii="仿宋_GB2312" w:eastAsia="仿宋_GB2312" w:hAnsi="宋体" w:cs="宋体" w:hint="eastAsia"/>
                <w:color w:val="3D3D3D"/>
                <w:kern w:val="0"/>
                <w:sz w:val="28"/>
                <w:szCs w:val="28"/>
              </w:rPr>
              <w:t>意见。评标委员会成员拒绝在评标报告上签字又不书面说明其不同意见和理由的，视为同意评标结果。</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第五十四条　依法必须进行招标的项目，招标人应当自收到评标报告之日起3日内公示中标候选人，公示期不得少于3日。</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投标人或者其他利害关系人对依法必须进行招标的项目的评标结果有异议的，应当在中标候选人公示期间提出。招标人应当自收到异议之日起3日内</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答复；</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答复前，应当暂停招标投标活动。</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第五十五条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第五十六条　中标候选人的经营、财务状况发生较大变化或者存在违法行为，招标人认为可能影响其履约能力的，应当在发出中标通知书前由原评标委员会按照招标文件规定的标准和方法审查确认。</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招标人最迟应当在书面合同签订后5日内向中标人和未中标的投标人退还投标保证金及银行同期存款利息。</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第五十八条　招标文件要求中标人提交履约保证金的，中标人应当按照招标文件的要求提交。履约保证金不得超过中标合同金额的10%。</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第五十九条　中标人应当按照合同约定履行义务，完成中标项目。中标人不得向他人转让中标项目，也不得将中标项目肢解后分别向他人转让。</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中标人按照合同约定或者经招标人同意，可以将中标项目的部分非主体、非关键性工作分包给他人完成。接受分包的人应当具备相应的资格条件，并不得再次分包。</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中标人应当就分包项目向招标人负责，接受分包的人就分包项目承担连带责任。</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center"/>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第五章　投诉与处理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第六十条　投标人或者其他利害关系人认为招标投标活动不符合法律、行政法规规定的，可以自知道或者应当知道之日起10日内向有关行政监督部门投诉。投诉应当有明确的请求和必要的证明材料。</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就本条例第二十二条、第四十四条、第五十四条规定事项投诉的，应当先向招标人提出异议，异议答复期间不计算在前</w:t>
            </w:r>
            <w:r w:rsidRPr="00261172">
              <w:rPr>
                <w:rFonts w:ascii="仿宋_GB2312" w:eastAsia="仿宋_GB2312" w:hAnsi="宋体" w:cs="宋体" w:hint="eastAsia"/>
                <w:color w:val="3D3D3D"/>
                <w:kern w:val="0"/>
                <w:sz w:val="28"/>
                <w:szCs w:val="28"/>
              </w:rPr>
              <w:lastRenderedPageBreak/>
              <w:t>款规定的期限内。</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第六十一条　投诉人就同一事项向两个以上有权受理的行政监督部门投诉的，由最先收到投诉的行政监督部门负责处理。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行政监督部门应当自收到投诉之日起3个工作日内决定是否受理投诉，并自受理投诉之日起30个工作日内</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书面处理决定；需要检验、检测、鉴定、专家评审的，所需时间不计算在内。</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投诉人捏造事实、伪造材料或者以非法手段取得证明材料进行投诉的，行政监督部门应当予以驳回。</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第六十二条　行政监督部门处理投诉，有权查阅、复制有关文件、资料，调查有关情况，相关单位和人员应当予以配合。必要时，行政监督部门可以责令暂停招标投标活动。</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行政监督部门的工作人员对监督检查过程中知悉的国家秘密、商业秘密，应当依法予以保密。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center"/>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第六章</w:t>
            </w: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法律责任</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第六十三条　招标人有下列限制或者排斥潜在投标人行为之一的，由有关行政监督部门依照招标投标法第五十一条的规定处罚：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（一）依法应当公开招标的项目不按照规定在指定媒介发布资格预审公告或者招标公告；</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（二）在不同媒介发布的同一招标项目的资格预审公告或者招标公告的内容不一致，影响潜在投标人申请资格预审或者投标。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依法必须进行招标的项目的招标人不按照规定发布资格预审公告或者招标公告，构成规避招标的，依照招标投标法第四十九条的规定处罚。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第六十四条　招标人有下列情形之一的，由有关行政监督部门责令改正，可以处10万元以下的罚款：</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（一）依法应当公开招标而采用邀请招标；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（二）招标文件、资格预审文件的发售、澄清、修改的时限，或者确定的提交资格预审申请文件、投标文件的时限不符合招标投标法和本条例规定；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（三）接受未通过资格预审的单位或者个人参加投标；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（四）接受应当拒收的投标文件。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招标人有前款第一项、第三项、第四项所</w:t>
            </w:r>
            <w:proofErr w:type="gramStart"/>
            <w:r w:rsidRPr="00261172">
              <w:rPr>
                <w:rFonts w:ascii="仿宋_GB2312" w:eastAsia="仿宋_GB2312" w:hAnsi="宋体" w:cs="宋体" w:hint="eastAsia"/>
                <w:color w:val="3D3D3D"/>
                <w:kern w:val="0"/>
                <w:sz w:val="28"/>
                <w:szCs w:val="28"/>
              </w:rPr>
              <w:t>列行</w:t>
            </w:r>
            <w:proofErr w:type="gramEnd"/>
            <w:r w:rsidRPr="00261172">
              <w:rPr>
                <w:rFonts w:ascii="仿宋_GB2312" w:eastAsia="仿宋_GB2312" w:hAnsi="宋体" w:cs="宋体" w:hint="eastAsia"/>
                <w:color w:val="3D3D3D"/>
                <w:kern w:val="0"/>
                <w:sz w:val="28"/>
                <w:szCs w:val="28"/>
              </w:rPr>
              <w:t>为之一的，对单位直接负责的主管人员和其他直接责任人员依法给予处分。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第六十六条　招标人超过本条例规定的比例收取投标保</w:t>
            </w:r>
            <w:r w:rsidRPr="00261172">
              <w:rPr>
                <w:rFonts w:ascii="仿宋_GB2312" w:eastAsia="仿宋_GB2312" w:hAnsi="宋体" w:cs="宋体" w:hint="eastAsia"/>
                <w:color w:val="3D3D3D"/>
                <w:kern w:val="0"/>
                <w:sz w:val="28"/>
                <w:szCs w:val="28"/>
              </w:rPr>
              <w:lastRenderedPageBreak/>
              <w:t>证金、履约保证金或者不按照规定退还投标保证金及银行同期存款利息的，由有关行政监督部门责令改正，可以处5万元以下的罚款；给他人造成损失的，依法承担赔偿责任。</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投标人有下列行为之一的，属于招标投标法第五十三条规定的情节严重行为，由有关行政监督部门取消其1年至2年内参加依法必须进行招标的项目的投标资格：</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（一）以行贿谋取中标；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（二）3年内2次以上串通投标；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（三）串通投标行为损害招标人、其他投标人或者国家、集体、公民的合法利益，造成直接经济损失30万元以上；</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（四）其他串通投标情节严重的行为。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投标人自本条第二款规定的处罚执行期限届满之日起3年内又有该款所列违法行为之一的，或者串通投标、以行贿谋取中标情节特别严重的，由工商行政管理机关吊销营业执照。</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法律、行政法规对串通投标报价行为的处罚另有规定的，从其规定。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投标人有下列行为之一的，属于招标投标法第五十四条规定的情节严重行为，由有关行政监督部门取消其1年至3年内参加依法必须进行招标的项目的投标资格：</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（一）伪造、变造资格、资质证书或者其他许可证件骗取中标；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（二）3年内2次以上使用他人名义投标；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（三）弄虚作假骗取中标给招标人造成直接经济损失30万元以上；</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（四）其他弄虚作假骗取中标情节严重的行为。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投标人自本条第二款规定的处罚执行期限届满之日起3年内又有该款所列违法行为之一的，或者弄虚作假骗取中标情节特别严重的，由工商行政管理机关吊销营业执照。</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第六十九条　出让或者出租资格、资质证书供他人投标的，依照法律、行政法规的规定给予行政处罚；构成犯罪的，依法追究刑事责任。</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第七十条　依法必须进行招标的项目的招标人不按照规定组建评标委员会，或者确定、更换评标委员会成员违反招标投</w:t>
            </w:r>
            <w:r w:rsidRPr="00261172">
              <w:rPr>
                <w:rFonts w:ascii="仿宋_GB2312" w:eastAsia="仿宋_GB2312" w:hAnsi="宋体" w:cs="宋体" w:hint="eastAsia"/>
                <w:color w:val="3D3D3D"/>
                <w:kern w:val="0"/>
                <w:sz w:val="28"/>
                <w:szCs w:val="28"/>
              </w:rPr>
              <w:lastRenderedPageBreak/>
              <w:t>标法和本条例规定的，由有关行政监督部门责令改正，可以处10万元以下的罚款，对单位直接负责的主管人员和其他直接责任人员依法给予处分；违法确定或者更换的评标委员会成员</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的评审结论无效，依法重新进行评审。</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国家工作人员以任何方式非法干涉选取评标委员会成员的，依照本条例第八十一条的规定追究法律责任。</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第七十一条　评标委员会成员有下列行为之一的，由有关行政监督部门责令改正；情节严重的，禁止其在一定期限内参加依法必须进行招标的项目的评标；情节特别严重的，取消其担任评标委员会成员的资格：</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（一）应当回避而不回避；</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（二）擅离职守；</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（三）不按照招标文件规定的评标标准和方法评标；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（四）私下接触投标人；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（五）向招标人征询确定中标人的意向或者接受任何单位或者个人明示或者暗示提出的倾向或者排斥特定投标人的要求；</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（六）对依法应当否决的投标不提出否决意见；</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（七）暗示或者诱导投标人</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澄清、说明或者接受投标人主动提出的澄清、说明；</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（八）其他不客观、不公正履行职务的行为。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第七十二条　评标委员会成员收受投标人的财物或者其</w:t>
            </w:r>
            <w:r w:rsidRPr="00261172">
              <w:rPr>
                <w:rFonts w:ascii="仿宋_GB2312" w:eastAsia="仿宋_GB2312" w:hAnsi="宋体" w:cs="宋体" w:hint="eastAsia"/>
                <w:color w:val="3D3D3D"/>
                <w:kern w:val="0"/>
                <w:sz w:val="28"/>
                <w:szCs w:val="28"/>
              </w:rPr>
              <w:lastRenderedPageBreak/>
              <w:t>他好处的，没收收受的财物，处3000元以上5万元以下的罚款，取消担任评标委员会成员的资格，不得再参加依法必须进行招标的项目的评标；构成犯罪的，依法追究刑事责任。</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（一）无正当理由不发出中标通知书；</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（二）不按照规定确定中标人；</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（三）中标通知书发出后无正当理由改变中标结果；</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（四）无正当理由不与中标人订立合同；</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（五）在订立合同时向中标人提出附加条件。</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第七十七条　投标人或者其他利害关系人捏造事实、伪造材料或者以非法手段取得证明材料进行投诉，给他人造成损失的，依法承担赔偿责任。</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招标人不按照规定对异议</w:t>
            </w:r>
            <w:proofErr w:type="gramStart"/>
            <w:r w:rsidRPr="00261172">
              <w:rPr>
                <w:rFonts w:ascii="仿宋_GB2312" w:eastAsia="仿宋_GB2312" w:hAnsi="宋体" w:cs="宋体" w:hint="eastAsia"/>
                <w:color w:val="3D3D3D"/>
                <w:kern w:val="0"/>
                <w:sz w:val="28"/>
                <w:szCs w:val="28"/>
              </w:rPr>
              <w:t>作出</w:t>
            </w:r>
            <w:proofErr w:type="gramEnd"/>
            <w:r w:rsidRPr="00261172">
              <w:rPr>
                <w:rFonts w:ascii="仿宋_GB2312" w:eastAsia="仿宋_GB2312" w:hAnsi="宋体" w:cs="宋体" w:hint="eastAsia"/>
                <w:color w:val="3D3D3D"/>
                <w:kern w:val="0"/>
                <w:sz w:val="28"/>
                <w:szCs w:val="28"/>
              </w:rPr>
              <w:t>答复，继续进行招标投标活动的，由有关行政监督部门责令改正，拒不改正或者不能改正并影响中标结果的，依照本条例第八十二条的规定处理。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第七十八条　取得招标职业资格的专业人员违反国家有关规定办理招标业务的，责令改正，给予警告；情节严重的，暂停一定期限内从事招标业务；情节特别严重的，取消招标职业资格。</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第七十九条　国家建立招标投标信用制度。有关行政监督部门应当依法公告对招标人、招标代理机构、投标人、评标委员会成员等当事人违法行为的行政处理决定。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第八十条　项目审批、核准部门不依法审批、核准项目招标范围、招标方式、招标组织形式的，对单位直接负责的主管人员和其他直接责任人员依法给予处分。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项目审批、核准部门和有关行政监督部门的工作人员徇私舞弊、滥用职权、玩忽职守，构成犯罪的，依法追究刑事责任。</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第八十一条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（一）要求对依法必须进行招标的项目不招标，或者要求对依法应当公开招标的项目不公开招标；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（二）要求评标委员会成员或者招标人以其指定的投标人作为中标候选人或者中标人，或者以其他方式非法干涉评标活动，影响中标结果；</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（三）以其他方式非法干涉招标投标活动。</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第八十二条　依法必须进行招标的项目的招标投标活动违反招标投标法和本条例的规定，对中标结果造成实质性影响，且不能采取补救措施予以纠正的，招标、投标、中标无效，应当依法重新招标或者评标。</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center"/>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lastRenderedPageBreak/>
              <w:t>第七章　附</w:t>
            </w: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则</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第八十三条　招标投标协会按照依法制定的章程开展活动，加强行业自律和服务。</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第八十四条　政府采购的法律、行政法规对政府采购货物、服务的招标投标另有规定的，从其规定。</w:t>
            </w:r>
          </w:p>
          <w:p w:rsidR="00261172" w:rsidRPr="00261172" w:rsidRDefault="00261172" w:rsidP="00261172">
            <w:pPr>
              <w:widowControl/>
              <w:spacing w:line="420" w:lineRule="atLeast"/>
              <w:jc w:val="left"/>
              <w:rPr>
                <w:rFonts w:ascii="宋体" w:eastAsia="宋体" w:hAnsi="宋体" w:cs="宋体"/>
                <w:color w:val="3D3D3D"/>
                <w:kern w:val="0"/>
                <w:sz w:val="24"/>
                <w:szCs w:val="24"/>
              </w:rPr>
            </w:pPr>
            <w:r w:rsidRPr="00261172">
              <w:rPr>
                <w:rFonts w:ascii="仿宋_GB2312" w:eastAsia="仿宋_GB2312" w:hAnsi="宋体" w:cs="宋体" w:hint="eastAsia"/>
                <w:color w:val="3D3D3D"/>
                <w:kern w:val="0"/>
                <w:sz w:val="28"/>
                <w:szCs w:val="28"/>
              </w:rPr>
              <w:t>   </w:t>
            </w:r>
            <w:r w:rsidRPr="00261172">
              <w:rPr>
                <w:rFonts w:ascii="仿宋_GB2312" w:eastAsia="仿宋_GB2312" w:hAnsi="宋体" w:cs="宋体" w:hint="eastAsia"/>
                <w:color w:val="3D3D3D"/>
                <w:kern w:val="0"/>
                <w:sz w:val="28"/>
              </w:rPr>
              <w:t> </w:t>
            </w:r>
            <w:r w:rsidRPr="00261172">
              <w:rPr>
                <w:rFonts w:ascii="仿宋_GB2312" w:eastAsia="仿宋_GB2312" w:hAnsi="宋体" w:cs="宋体" w:hint="eastAsia"/>
                <w:color w:val="3D3D3D"/>
                <w:kern w:val="0"/>
                <w:sz w:val="28"/>
                <w:szCs w:val="28"/>
              </w:rPr>
              <w:t>第八十五条　本条例自2012年2月1日起施行。</w:t>
            </w:r>
          </w:p>
          <w:p w:rsidR="00261172" w:rsidRPr="00261172" w:rsidRDefault="00261172" w:rsidP="00261172">
            <w:pPr>
              <w:widowControl/>
              <w:spacing w:before="100" w:beforeAutospacing="1" w:after="100" w:afterAutospacing="1" w:line="378" w:lineRule="atLeast"/>
              <w:jc w:val="left"/>
              <w:rPr>
                <w:rFonts w:ascii="宋体" w:eastAsia="宋体" w:hAnsi="宋体" w:cs="宋体"/>
                <w:color w:val="3D3D3D"/>
                <w:kern w:val="0"/>
                <w:szCs w:val="21"/>
              </w:rPr>
            </w:pPr>
            <w:r w:rsidRPr="00261172">
              <w:rPr>
                <w:rFonts w:ascii="宋体" w:eastAsia="宋体" w:hAnsi="宋体" w:cs="宋体" w:hint="eastAsia"/>
                <w:color w:val="3D3D3D"/>
                <w:kern w:val="0"/>
                <w:szCs w:val="21"/>
              </w:rPr>
              <w:t> </w:t>
            </w:r>
          </w:p>
        </w:tc>
      </w:tr>
    </w:tbl>
    <w:p w:rsidR="00942152" w:rsidRPr="00261172" w:rsidRDefault="00942152"/>
    <w:sectPr w:rsidR="00942152" w:rsidRPr="00261172" w:rsidSect="009421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172"/>
    <w:rsid w:val="00041C57"/>
    <w:rsid w:val="00261172"/>
    <w:rsid w:val="00942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13A74-4FE3-4012-8961-B3126C17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1172"/>
  </w:style>
  <w:style w:type="character" w:styleId="a3">
    <w:name w:val="Hyperlink"/>
    <w:basedOn w:val="a0"/>
    <w:uiPriority w:val="99"/>
    <w:semiHidden/>
    <w:unhideWhenUsed/>
    <w:rsid w:val="00261172"/>
    <w:rPr>
      <w:color w:val="0000FF"/>
      <w:u w:val="single"/>
    </w:rPr>
  </w:style>
  <w:style w:type="paragraph" w:styleId="a4">
    <w:name w:val="Normal (Web)"/>
    <w:basedOn w:val="a"/>
    <w:uiPriority w:val="99"/>
    <w:unhideWhenUsed/>
    <w:rsid w:val="002611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92829">
      <w:bodyDiv w:val="1"/>
      <w:marLeft w:val="0"/>
      <w:marRight w:val="0"/>
      <w:marTop w:val="0"/>
      <w:marBottom w:val="0"/>
      <w:divBdr>
        <w:top w:val="none" w:sz="0" w:space="0" w:color="auto"/>
        <w:left w:val="none" w:sz="0" w:space="0" w:color="auto"/>
        <w:bottom w:val="none" w:sz="0" w:space="0" w:color="auto"/>
        <w:right w:val="none" w:sz="0" w:space="0" w:color="auto"/>
      </w:divBdr>
      <w:divsChild>
        <w:div w:id="178993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1972</Words>
  <Characters>11244</Characters>
  <Application>Microsoft Office Word</Application>
  <DocSecurity>0</DocSecurity>
  <Lines>93</Lines>
  <Paragraphs>26</Paragraphs>
  <ScaleCrop>false</ScaleCrop>
  <Company>Microsoft</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2015-03-14T02:05:00Z</dcterms:created>
  <dcterms:modified xsi:type="dcterms:W3CDTF">2015-04-18T02:52:00Z</dcterms:modified>
</cp:coreProperties>
</file>