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header+xml" PartName="/word/header1.xml"/>
  <Default ContentType="image/png" Extension="pn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1" w:rightFromText="181" w:vertAnchor="page" w:horzAnchor="page" w:tblpX="1754" w:tblpY="2538"/>
        <w:tblW w:w="892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9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02" w:hRule="exact"/>
        </w:trPr>
        <w:tc>
          <w:tcPr>
            <w:tcW w:w="8928" w:type="dxa"/>
            <w:vAlign w:val="top"/>
          </w:tcPr>
          <w:p>
            <w:pPr>
              <w:widowControl w:val="0"/>
              <w:adjustRightInd w:val="0"/>
              <w:spacing w:before="0" w:beforeAutospacing="0" w:after="0" w:afterAutospacing="0" w:line="980" w:lineRule="exact"/>
              <w:ind w:left="0" w:right="0"/>
              <w:jc w:val="center"/>
              <w:rPr>
                <w:rFonts w:hint="eastAsia" w:ascii="华文中宋" w:hAnsi="华文中宋" w:eastAsia="华文中宋" w:cs="华文中宋"/>
                <w:color w:val="FF0000"/>
                <w:spacing w:val="100"/>
                <w:sz w:val="100"/>
                <w:szCs w:val="100"/>
                <w:lang w:val="en-US"/>
              </w:rPr>
            </w:pPr>
            <w:r>
              <w:rPr>
                <w:rFonts w:hint="eastAsia" w:ascii="华文中宋" w:hAnsi="华文中宋" w:eastAsia="华文中宋" w:cs="华文中宋"/>
                <w:color w:val="FF0000"/>
                <w:spacing w:val="100"/>
                <w:kern w:val="2"/>
                <w:sz w:val="100"/>
                <w:szCs w:val="100"/>
                <w:lang w:val="en-US" w:eastAsia="zh-CN" w:bidi="ar-SA"/>
              </w:rPr>
              <w:t>郑州大学文件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80" w:hRule="exact"/>
        </w:trPr>
        <w:tc>
          <w:tcPr>
            <w:tcW w:w="8928" w:type="dxa"/>
            <w:tcBorders>
              <w:top w:val="nil"/>
              <w:left w:val="nil"/>
              <w:bottom w:val="single" w:color="FF0000" w:sz="12" w:space="0"/>
              <w:right w:val="nil"/>
            </w:tcBorders>
            <w:vAlign w:val="center"/>
          </w:tcPr>
          <w:p>
            <w:pPr>
              <w:widowControl w:val="0"/>
              <w:adjustRightInd w:val="0"/>
              <w:spacing w:before="0" w:beforeAutospacing="0" w:after="0" w:afterAutospacing="0"/>
              <w:ind w:left="0" w:right="0"/>
              <w:jc w:val="center"/>
              <w:rPr>
                <w:rFonts w:hint="eastAsia" w:ascii="仿宋_GB2312" w:hAnsi="宋体" w:eastAsia="仿宋_GB2312" w:cs="仿宋_GB2312"/>
                <w:lang w:val="en-US"/>
              </w:rPr>
            </w:pPr>
            <w:r>
              <w:rPr>
                <w:rFonts w:hint="eastAsia" w:ascii="仿宋_GB2312" w:hAnsi="宋体" w:eastAsia="仿宋_GB2312" w:cs="仿宋_GB2312"/>
                <w:color w:val="auto"/>
                <w:kern w:val="2"/>
                <w:sz w:val="32"/>
                <w:szCs w:val="24"/>
                <w:lang w:val="en-US" w:eastAsia="zh-CN" w:bidi="ar-SA"/>
              </w:rPr>
              <w:t>校研究生〔2014〕5号</w:t>
            </w:r>
          </w:p>
        </w:tc>
      </w:tr>
    </w:tbl>
    <w:p>
      <w:pPr>
        <w:adjustRightInd w:val="0"/>
        <w:spacing w:line="520" w:lineRule="exact"/>
        <w:jc w:val="center"/>
        <w:rPr>
          <w:rFonts w:hint="eastAsia" w:ascii="仿宋_GB2312" w:hAnsi="宋体"/>
        </w:rPr>
      </w:pPr>
    </w:p>
    <w:p>
      <w:pPr>
        <w:adjustRightInd w:val="0"/>
        <w:spacing w:line="520" w:lineRule="exact"/>
        <w:jc w:val="center"/>
        <w:rPr>
          <w:rFonts w:hint="eastAsia" w:ascii="仿宋_GB2312" w:hAnsi="宋体"/>
        </w:rPr>
      </w:pPr>
    </w:p>
    <w:p>
      <w:pPr>
        <w:widowControl/>
        <w:spacing w:line="700" w:lineRule="exact"/>
        <w:jc w:val="center"/>
        <w:rPr>
          <w:rFonts w:hint="eastAsia" w:ascii="方正小标宋简体" w:eastAsia="方正小标宋简体"/>
          <w:bCs/>
          <w:color w:val="000000"/>
          <w:kern w:val="0"/>
          <w:sz w:val="42"/>
          <w:szCs w:val="42"/>
        </w:rPr>
      </w:pPr>
      <w:bookmarkStart w:id="0" w:name="标题"/>
      <w:bookmarkEnd w:id="0"/>
      <w:bookmarkStart w:id="1" w:name="正文"/>
      <w:bookmarkEnd w:id="1"/>
      <w:r>
        <w:rPr>
          <w:rFonts w:hint="eastAsia" w:ascii="方正小标宋简体" w:eastAsia="方正小标宋简体"/>
          <w:bCs/>
          <w:color w:val="000000"/>
          <w:kern w:val="0"/>
          <w:sz w:val="42"/>
          <w:szCs w:val="42"/>
        </w:rPr>
        <w:t>关于印发《郑州大学深化研究生奖助体系</w:t>
      </w:r>
    </w:p>
    <w:p>
      <w:pPr>
        <w:widowControl/>
        <w:spacing w:line="700" w:lineRule="exact"/>
        <w:jc w:val="center"/>
        <w:rPr>
          <w:rFonts w:hint="eastAsia" w:ascii="方正小标宋简体" w:eastAsia="方正小标宋简体"/>
          <w:bCs/>
          <w:color w:val="000000"/>
          <w:kern w:val="0"/>
          <w:sz w:val="42"/>
          <w:szCs w:val="42"/>
        </w:rPr>
      </w:pPr>
      <w:r>
        <w:rPr>
          <w:rFonts w:hint="eastAsia" w:ascii="方正小标宋简体" w:eastAsia="方正小标宋简体"/>
          <w:bCs/>
          <w:color w:val="000000"/>
          <w:kern w:val="0"/>
          <w:sz w:val="42"/>
          <w:szCs w:val="42"/>
        </w:rPr>
        <w:t>改革方案》（试行）的通知</w:t>
      </w:r>
    </w:p>
    <w:p>
      <w:pPr>
        <w:widowControl/>
        <w:spacing w:before="156" w:after="156"/>
        <w:jc w:val="center"/>
        <w:rPr>
          <w:rFonts w:eastAsia="方正仿宋简体"/>
          <w:b/>
          <w:bCs/>
          <w:color w:val="000000"/>
          <w:kern w:val="0"/>
          <w:sz w:val="31"/>
          <w:szCs w:val="31"/>
        </w:rPr>
      </w:pPr>
    </w:p>
    <w:p>
      <w:pPr>
        <w:widowControl/>
        <w:spacing w:before="156" w:after="156"/>
        <w:rPr>
          <w:rFonts w:eastAsia="方正仿宋简体"/>
          <w:kern w:val="0"/>
          <w:sz w:val="31"/>
          <w:szCs w:val="31"/>
        </w:rPr>
      </w:pPr>
      <w:r>
        <w:rPr>
          <w:rFonts w:eastAsia="方正仿宋简体"/>
          <w:kern w:val="0"/>
          <w:sz w:val="31"/>
          <w:szCs w:val="31"/>
        </w:rPr>
        <w:t>各研究生培养单位：</w:t>
      </w:r>
    </w:p>
    <w:p>
      <w:pPr>
        <w:widowControl/>
        <w:spacing w:before="156" w:after="156"/>
        <w:ind w:firstLine="612" w:firstLineChars="200"/>
        <w:rPr>
          <w:rFonts w:eastAsia="方正仿宋简体"/>
          <w:kern w:val="0"/>
          <w:sz w:val="31"/>
          <w:szCs w:val="31"/>
        </w:rPr>
      </w:pPr>
      <w:r>
        <w:rPr>
          <w:rFonts w:eastAsia="方正仿宋简体"/>
          <w:kern w:val="0"/>
          <w:sz w:val="31"/>
          <w:szCs w:val="31"/>
        </w:rPr>
        <w:t>《郑州大学深化研究生奖助体系改革方案》（试行）已经学校研究通过，现予印发，请遵照执行。</w:t>
      </w:r>
    </w:p>
    <w:p>
      <w:pPr>
        <w:widowControl/>
        <w:rPr>
          <w:rFonts w:eastAsia="方正仿宋简体"/>
          <w:kern w:val="0"/>
          <w:sz w:val="31"/>
          <w:szCs w:val="31"/>
        </w:rPr>
      </w:pPr>
    </w:p>
    <w:p>
      <w:pPr>
        <w:widowControl/>
        <w:ind w:firstLine="612" w:firstLineChars="200"/>
        <w:rPr>
          <w:rFonts w:eastAsia="方正仿宋简体"/>
          <w:kern w:val="0"/>
          <w:sz w:val="31"/>
          <w:szCs w:val="31"/>
        </w:rPr>
      </w:pPr>
      <w:r>
        <w:rPr>
          <w:rFonts w:eastAsia="方正仿宋简体"/>
          <w:kern w:val="0"/>
          <w:sz w:val="31"/>
          <w:szCs w:val="31"/>
        </w:rPr>
        <w:t>附件：郑州大学深化研究生奖助体系改革方案（试行）</w:t>
      </w:r>
    </w:p>
    <w:p>
      <w:pPr>
        <w:widowControl/>
        <w:spacing w:before="156" w:after="156"/>
        <w:rPr>
          <w:rFonts w:hint="eastAsia" w:eastAsia="方正仿宋简体"/>
          <w:kern w:val="0"/>
          <w:sz w:val="31"/>
          <w:szCs w:val="31"/>
        </w:rPr>
      </w:pPr>
    </w:p>
    <w:p>
      <w:pPr>
        <w:widowControl/>
        <w:spacing w:before="156" w:after="156"/>
        <w:rPr>
          <w:rFonts w:hint="eastAsia" w:eastAsia="方正仿宋简体"/>
          <w:kern w:val="0"/>
          <w:sz w:val="31"/>
          <w:szCs w:val="31"/>
        </w:rPr>
      </w:pPr>
    </w:p>
    <w:p>
      <w:pPr>
        <w:widowControl/>
        <w:wordWrap w:val="0"/>
        <w:spacing w:before="156" w:after="156"/>
        <w:jc w:val="right"/>
        <w:rPr>
          <w:rFonts w:eastAsia="方正仿宋简体"/>
          <w:kern w:val="0"/>
          <w:sz w:val="31"/>
          <w:szCs w:val="31"/>
        </w:rPr>
      </w:pPr>
      <w:r>
        <w:rPr>
          <w:rFonts w:eastAsia="方正仿宋简体"/>
          <w:kern w:val="0"/>
          <w:sz w:val="31"/>
          <w:szCs w:val="31"/>
        </w:rPr>
        <w:t>2014年7月</w:t>
      </w:r>
      <w:r>
        <w:rPr>
          <w:rFonts w:hint="eastAsia" w:eastAsia="方正仿宋简体"/>
          <w:kern w:val="0"/>
          <w:sz w:val="31"/>
          <w:szCs w:val="31"/>
        </w:rPr>
        <w:t>31</w:t>
      </w:r>
      <w:r>
        <w:rPr>
          <w:rFonts w:eastAsia="方正仿宋简体"/>
          <w:kern w:val="0"/>
          <w:sz w:val="31"/>
          <w:szCs w:val="31"/>
        </w:rPr>
        <w:t>日</w:t>
      </w:r>
      <w:r>
        <w:rPr>
          <w:rFonts w:hint="eastAsia" w:eastAsia="方正仿宋简体"/>
          <w:kern w:val="0"/>
          <w:sz w:val="31"/>
          <w:szCs w:val="31"/>
        </w:rPr>
        <w:t xml:space="preserve">        </w:t>
      </w:r>
    </w:p>
    <w:p>
      <w:pPr>
        <w:widowControl/>
        <w:snapToGrid/>
        <w:spacing w:before="156" w:after="156" w:line="240" w:lineRule="auto"/>
        <w:ind w:left="0" w:leftChars="0" w:right="153"/>
        <w:textAlignment w:val="auto"/>
        <w:outlineLvl w:val="9"/>
        <w:rPr>
          <w:rFonts w:hint="eastAsia" w:ascii="黑体" w:eastAsia="黑体"/>
          <w:bCs/>
          <w:color w:val="000000"/>
          <w:kern w:val="0"/>
          <w:sz w:val="31"/>
          <w:szCs w:val="31"/>
        </w:rPr>
      </w:pPr>
      <w:r>
        <w:rPr>
          <w:rFonts w:eastAsia="方正仿宋简体"/>
          <w:kern w:val="0"/>
          <w:sz w:val="31"/>
          <w:szCs w:val="31"/>
        </w:rPr>
        <w:br w:type="page"/>
      </w:r>
      <w:r>
        <w:rPr>
          <w:rFonts w:hint="eastAsia" w:ascii="黑体" w:eastAsia="黑体"/>
          <w:bCs/>
          <w:color w:val="000000"/>
          <w:kern w:val="0"/>
          <w:sz w:val="31"/>
          <w:szCs w:val="31"/>
        </w:rPr>
        <w:t>附  件</w:t>
      </w:r>
      <w:bookmarkStart w:id="9" w:name="_GoBack"/>
      <w:bookmarkEnd w:id="9"/>
    </w:p>
    <w:p>
      <w:pPr>
        <w:pStyle w:val="6"/>
        <w:snapToGrid/>
        <w:spacing w:line="240" w:lineRule="auto"/>
        <w:ind w:left="0" w:leftChars="0"/>
        <w:jc w:val="center"/>
        <w:textAlignment w:val="auto"/>
        <w:outlineLvl w:val="9"/>
        <w:rPr>
          <w:rFonts w:hint="eastAsia" w:ascii="方正小标宋简体" w:eastAsia="方正小标宋简体"/>
          <w:bCs/>
          <w:color w:val="000000"/>
          <w:sz w:val="42"/>
          <w:szCs w:val="42"/>
        </w:rPr>
      </w:pPr>
      <w:bookmarkStart w:id="2" w:name="_Toc386537365"/>
      <w:bookmarkEnd w:id="2"/>
      <w:bookmarkStart w:id="3" w:name="_Toc386537366"/>
      <w:bookmarkEnd w:id="3"/>
      <w:bookmarkStart w:id="4" w:name="_Toc386537367"/>
      <w:bookmarkEnd w:id="4"/>
      <w:bookmarkStart w:id="5" w:name="_Toc386537368"/>
      <w:bookmarkEnd w:id="5"/>
      <w:bookmarkStart w:id="6" w:name="_Toc386537369"/>
      <w:bookmarkEnd w:id="6"/>
      <w:bookmarkStart w:id="7" w:name="_Toc386537370"/>
      <w:bookmarkEnd w:id="7"/>
      <w:bookmarkStart w:id="8" w:name="_Toc386537371"/>
      <w:bookmarkEnd w:id="8"/>
      <w:r>
        <w:rPr>
          <w:rFonts w:hint="eastAsia" w:ascii="方正小标宋简体" w:eastAsia="方正小标宋简体"/>
          <w:bCs/>
          <w:color w:val="000000"/>
          <w:sz w:val="42"/>
          <w:szCs w:val="42"/>
        </w:rPr>
        <w:t>郑州大学深化研究生奖助体系改革方案</w:t>
      </w:r>
    </w:p>
    <w:p>
      <w:pPr>
        <w:pStyle w:val="6"/>
        <w:snapToGrid/>
        <w:spacing w:line="240" w:lineRule="auto"/>
        <w:ind w:left="0" w:leftChars="0"/>
        <w:jc w:val="center"/>
        <w:textAlignment w:val="auto"/>
        <w:outlineLvl w:val="9"/>
        <w:rPr>
          <w:rFonts w:hint="eastAsia" w:ascii="方正小标宋简体" w:eastAsia="方正小标宋简体"/>
          <w:bCs/>
          <w:color w:val="000000"/>
          <w:sz w:val="42"/>
          <w:szCs w:val="42"/>
        </w:rPr>
      </w:pPr>
      <w:r>
        <w:rPr>
          <w:rFonts w:hint="eastAsia" w:ascii="方正小标宋简体" w:eastAsia="方正小标宋简体"/>
          <w:bCs/>
          <w:color w:val="000000"/>
          <w:sz w:val="42"/>
          <w:szCs w:val="42"/>
        </w:rPr>
        <w:t>（试行）</w:t>
      </w:r>
    </w:p>
    <w:p>
      <w:pPr>
        <w:pStyle w:val="6"/>
        <w:snapToGrid/>
        <w:spacing w:line="240" w:lineRule="auto"/>
        <w:ind w:left="0" w:leftChars="0"/>
        <w:textAlignment w:val="auto"/>
        <w:outlineLvl w:val="9"/>
        <w:rPr>
          <w:rFonts w:hint="eastAsia" w:ascii="华文仿宋" w:hAnsi="华文仿宋" w:eastAsia="华文仿宋" w:cs="华文仿宋"/>
          <w:b/>
          <w:bCs/>
          <w:color w:val="000000"/>
          <w:sz w:val="28"/>
          <w:szCs w:val="28"/>
        </w:rPr>
      </w:pPr>
    </w:p>
    <w:p>
      <w:pPr>
        <w:pStyle w:val="6"/>
        <w:snapToGrid/>
        <w:spacing w:line="240" w:lineRule="auto"/>
        <w:ind w:left="0" w:leftChars="0"/>
        <w:jc w:val="center"/>
        <w:textAlignment w:val="auto"/>
        <w:outlineLvl w:val="9"/>
        <w:rPr>
          <w:rFonts w:hint="eastAsia" w:ascii="黑体" w:hAnsi="黑体" w:eastAsia="黑体" w:cs="黑体"/>
          <w:bCs/>
          <w:color w:val="000000"/>
          <w:sz w:val="30"/>
          <w:szCs w:val="30"/>
        </w:rPr>
      </w:pPr>
      <w:r>
        <w:rPr>
          <w:rFonts w:hint="eastAsia" w:ascii="黑体" w:hAnsi="黑体" w:eastAsia="黑体" w:cs="黑体"/>
          <w:bCs/>
          <w:color w:val="000000"/>
          <w:sz w:val="30"/>
          <w:szCs w:val="30"/>
        </w:rPr>
        <w:t>第一章  总  则</w:t>
      </w:r>
    </w:p>
    <w:p>
      <w:pPr>
        <w:pStyle w:val="6"/>
        <w:snapToGrid/>
        <w:spacing w:line="240" w:lineRule="auto"/>
        <w:ind w:left="0" w:leftChars="0" w:firstLine="612" w:firstLineChars="200"/>
        <w:textAlignment w:val="auto"/>
        <w:outlineLvl w:val="9"/>
        <w:rPr>
          <w:rFonts w:hint="eastAsia" w:ascii="华文仿宋" w:hAnsi="华文仿宋" w:eastAsia="华文仿宋" w:cs="华文仿宋"/>
          <w:bCs/>
          <w:color w:val="000000"/>
          <w:sz w:val="30"/>
          <w:szCs w:val="30"/>
        </w:rPr>
      </w:pPr>
      <w:r>
        <w:rPr>
          <w:rFonts w:hint="eastAsia" w:ascii="黑体" w:hAnsi="黑体" w:eastAsia="黑体" w:cs="黑体"/>
          <w:bCs/>
          <w:color w:val="000000"/>
          <w:sz w:val="30"/>
          <w:szCs w:val="30"/>
        </w:rPr>
        <w:t xml:space="preserve">第一条 </w:t>
      </w:r>
      <w:r>
        <w:rPr>
          <w:rFonts w:hint="eastAsia" w:ascii="华文仿宋" w:hAnsi="华文仿宋" w:eastAsia="华文仿宋" w:cs="华文仿宋"/>
          <w:bCs/>
          <w:color w:val="000000"/>
          <w:sz w:val="30"/>
          <w:szCs w:val="30"/>
        </w:rPr>
        <w:t xml:space="preserve"> 为落实《财政部 国家发展改革委 教育部关于完善研究生教育投入机制的意见》（财教〔2013〕19号）和《河南省财政厅 河南省发展和改革委员会 河南省教育厅关于完善研究生教育投入机制的意见》（豫财教〔2013〕281号）精神，全面激发研究生教育的活力，我校在2008年研究生培养机制改革的基础上，统筹多种资源，加大投入，改善研究生学习、科研和生活条件，从整体上提高研究生待遇，进一步完善研究生奖助政策。为使研究生奖助体系更加科学规范，适应创新人才培养的要求，结合我校研究生教育改革的实际情况，特制定本方案。</w:t>
      </w:r>
    </w:p>
    <w:p>
      <w:pPr>
        <w:pStyle w:val="6"/>
        <w:snapToGrid/>
        <w:spacing w:line="240" w:lineRule="auto"/>
        <w:ind w:left="0" w:leftChars="0" w:firstLine="612" w:firstLineChars="200"/>
        <w:textAlignment w:val="auto"/>
        <w:outlineLvl w:val="9"/>
        <w:rPr>
          <w:rFonts w:hint="eastAsia" w:ascii="华文仿宋" w:hAnsi="华文仿宋" w:eastAsia="华文仿宋" w:cs="华文仿宋"/>
          <w:bCs/>
          <w:color w:val="000000"/>
          <w:sz w:val="30"/>
          <w:szCs w:val="30"/>
        </w:rPr>
      </w:pPr>
      <w:r>
        <w:rPr>
          <w:rFonts w:hint="eastAsia" w:ascii="黑体" w:hAnsi="黑体" w:eastAsia="黑体" w:cs="黑体"/>
          <w:bCs/>
          <w:color w:val="000000"/>
          <w:sz w:val="30"/>
          <w:szCs w:val="30"/>
        </w:rPr>
        <w:t>第二条</w:t>
      </w:r>
      <w:r>
        <w:rPr>
          <w:rFonts w:hint="eastAsia" w:ascii="华文仿宋" w:hAnsi="华文仿宋" w:eastAsia="华文仿宋" w:cs="华文仿宋"/>
          <w:bCs/>
          <w:color w:val="000000"/>
          <w:sz w:val="30"/>
          <w:szCs w:val="30"/>
        </w:rPr>
        <w:t xml:space="preserve">  研究生奖助体系包括：研究生国家奖学金、学业奖学金及单项优秀奖学金等组成的研究生奖学金体系，以及研究生助学金、“三助”津贴、临时困难补助及助学贷款等组成的研究生助学金体系。</w:t>
      </w:r>
    </w:p>
    <w:p>
      <w:pPr>
        <w:snapToGrid/>
        <w:spacing w:line="240" w:lineRule="auto"/>
        <w:ind w:left="0" w:leftChars="0" w:firstLine="612" w:firstLineChars="200"/>
        <w:textAlignment w:val="auto"/>
        <w:outlineLvl w:val="9"/>
        <w:rPr>
          <w:rFonts w:hint="eastAsia" w:ascii="华文仿宋" w:hAnsi="华文仿宋" w:eastAsia="华文仿宋" w:cs="华文仿宋"/>
          <w:sz w:val="30"/>
          <w:szCs w:val="30"/>
        </w:rPr>
      </w:pPr>
      <w:r>
        <w:rPr>
          <w:rFonts w:hint="eastAsia" w:ascii="黑体" w:hAnsi="黑体" w:eastAsia="黑体" w:cs="黑体"/>
          <w:sz w:val="30"/>
          <w:szCs w:val="30"/>
        </w:rPr>
        <w:t xml:space="preserve">第三条 </w:t>
      </w:r>
      <w:r>
        <w:rPr>
          <w:rFonts w:hint="eastAsia" w:ascii="华文仿宋" w:hAnsi="华文仿宋" w:eastAsia="华文仿宋" w:cs="华文仿宋"/>
          <w:sz w:val="30"/>
          <w:szCs w:val="30"/>
        </w:rPr>
        <w:t xml:space="preserve"> 研究生奖助体系资金来源：①政府下拨的研究生国家奖学金、学业奖学金和助学金；②研究生学费；③研究生导师、院（系）和联合培养基地提供的资助经费；④学校设置的研究生助教、助研（助医）、助管岗位经费；⑤社会捐赠的奖学金以及学校筹措的其它经费。</w:t>
      </w:r>
    </w:p>
    <w:p>
      <w:pPr>
        <w:pStyle w:val="6"/>
        <w:snapToGrid/>
        <w:spacing w:line="240" w:lineRule="auto"/>
        <w:ind w:left="0" w:leftChars="0"/>
        <w:jc w:val="center"/>
        <w:textAlignment w:val="auto"/>
        <w:outlineLvl w:val="9"/>
        <w:rPr>
          <w:rFonts w:hint="eastAsia" w:ascii="黑体" w:hAnsi="黑体" w:eastAsia="黑体" w:cs="黑体"/>
          <w:bCs/>
          <w:color w:val="000000"/>
          <w:sz w:val="30"/>
          <w:szCs w:val="30"/>
        </w:rPr>
      </w:pPr>
      <w:r>
        <w:rPr>
          <w:rFonts w:hint="eastAsia" w:ascii="黑体" w:hAnsi="黑体" w:eastAsia="黑体" w:cs="黑体"/>
          <w:bCs/>
          <w:color w:val="000000"/>
          <w:sz w:val="30"/>
          <w:szCs w:val="30"/>
        </w:rPr>
        <w:t>第二章</w:t>
      </w:r>
      <w:r>
        <w:rPr>
          <w:rFonts w:hint="eastAsia" w:ascii="黑体" w:hAnsi="黑体" w:eastAsia="黑体" w:cs="黑体"/>
          <w:bCs/>
          <w:color w:val="000000"/>
          <w:sz w:val="30"/>
          <w:szCs w:val="30"/>
        </w:rPr>
        <w:tab/>
      </w:r>
      <w:r>
        <w:rPr>
          <w:rFonts w:hint="eastAsia" w:ascii="黑体" w:hAnsi="黑体" w:eastAsia="黑体" w:cs="黑体"/>
          <w:bCs/>
          <w:color w:val="000000"/>
          <w:sz w:val="30"/>
          <w:szCs w:val="30"/>
          <w:lang w:val="en-US" w:eastAsia="zh-CN"/>
        </w:rPr>
        <w:t xml:space="preserve"> </w:t>
      </w:r>
      <w:r>
        <w:rPr>
          <w:rFonts w:hint="eastAsia" w:ascii="黑体" w:hAnsi="黑体" w:eastAsia="黑体" w:cs="黑体"/>
          <w:bCs/>
          <w:color w:val="000000"/>
          <w:sz w:val="30"/>
          <w:szCs w:val="30"/>
        </w:rPr>
        <w:t>研究生奖助学金设置</w:t>
      </w:r>
    </w:p>
    <w:p>
      <w:pPr>
        <w:pStyle w:val="6"/>
        <w:snapToGrid/>
        <w:spacing w:line="240" w:lineRule="auto"/>
        <w:ind w:left="0" w:leftChars="0" w:firstLine="612" w:firstLineChars="200"/>
        <w:textAlignment w:val="auto"/>
        <w:outlineLvl w:val="9"/>
        <w:rPr>
          <w:rFonts w:hint="eastAsia" w:ascii="华文仿宋" w:hAnsi="华文仿宋" w:eastAsia="华文仿宋" w:cs="华文仿宋"/>
          <w:bCs/>
          <w:color w:val="000000"/>
          <w:sz w:val="30"/>
          <w:szCs w:val="30"/>
        </w:rPr>
      </w:pPr>
      <w:r>
        <w:rPr>
          <w:rFonts w:hint="eastAsia" w:ascii="黑体" w:hAnsi="黑体" w:eastAsia="黑体" w:cs="黑体"/>
          <w:bCs/>
          <w:color w:val="000000"/>
          <w:sz w:val="30"/>
          <w:szCs w:val="30"/>
        </w:rPr>
        <w:t>第四条</w:t>
      </w:r>
      <w:r>
        <w:rPr>
          <w:rFonts w:hint="eastAsia" w:ascii="华文仿宋" w:hAnsi="华文仿宋" w:eastAsia="华文仿宋" w:cs="华文仿宋"/>
          <w:bCs/>
          <w:color w:val="000000"/>
          <w:sz w:val="30"/>
          <w:szCs w:val="30"/>
        </w:rPr>
        <w:t xml:space="preserve">  研究生国家奖学金 学校按照国家统一要求，建立研究生国家奖学金评审制度，奖励表现优异的全日制研究生，每年评审一次。博士研究生国家奖学金奖励标准为每生３万元；硕士研究生国家奖学金奖励标准为每生２万元。具体管理按《郑州大学研究生国家奖学金评审实施办法》执行。</w:t>
      </w:r>
    </w:p>
    <w:p>
      <w:pPr>
        <w:pStyle w:val="6"/>
        <w:snapToGrid/>
        <w:spacing w:line="240" w:lineRule="auto"/>
        <w:ind w:left="0" w:leftChars="0" w:firstLine="612" w:firstLineChars="200"/>
        <w:textAlignment w:val="auto"/>
        <w:outlineLvl w:val="9"/>
        <w:rPr>
          <w:rFonts w:hint="eastAsia" w:ascii="华文仿宋" w:hAnsi="华文仿宋" w:eastAsia="华文仿宋" w:cs="华文仿宋"/>
          <w:bCs/>
          <w:color w:val="000000"/>
          <w:sz w:val="30"/>
          <w:szCs w:val="30"/>
        </w:rPr>
      </w:pPr>
      <w:r>
        <w:rPr>
          <w:rFonts w:hint="eastAsia" w:ascii="黑体" w:hAnsi="黑体" w:eastAsia="黑体" w:cs="黑体"/>
          <w:bCs/>
          <w:color w:val="000000"/>
          <w:sz w:val="30"/>
          <w:szCs w:val="30"/>
        </w:rPr>
        <w:t xml:space="preserve">第五条 </w:t>
      </w:r>
      <w:r>
        <w:rPr>
          <w:rFonts w:hint="eastAsia" w:ascii="华文仿宋" w:hAnsi="华文仿宋" w:eastAsia="华文仿宋" w:cs="华文仿宋"/>
          <w:bCs/>
          <w:color w:val="000000"/>
          <w:sz w:val="30"/>
          <w:szCs w:val="30"/>
        </w:rPr>
        <w:t xml:space="preserve"> 研究生学业奖学金 用于奖励有明确学习目标，有较强的科研能力、勤奋学习、潜心科研、勇于创新、积极进取、有一定科研成果或实践成果的全日制（全脱产学习）研究生，帮助他们更好地完成学业，每年评审一次。</w:t>
      </w:r>
    </w:p>
    <w:p>
      <w:pPr>
        <w:pStyle w:val="6"/>
        <w:snapToGrid/>
        <w:spacing w:line="240" w:lineRule="auto"/>
        <w:ind w:left="0" w:leftChars="0" w:firstLine="612" w:firstLineChars="200"/>
        <w:textAlignment w:val="auto"/>
        <w:outlineLvl w:val="9"/>
        <w:rPr>
          <w:rFonts w:hint="eastAsia" w:ascii="华文仿宋" w:hAnsi="华文仿宋" w:eastAsia="华文仿宋" w:cs="华文仿宋"/>
          <w:bCs/>
          <w:color w:val="000000"/>
          <w:sz w:val="30"/>
          <w:szCs w:val="30"/>
        </w:rPr>
      </w:pPr>
      <w:r>
        <w:rPr>
          <w:rFonts w:hint="eastAsia" w:ascii="华文仿宋" w:hAnsi="华文仿宋" w:eastAsia="华文仿宋" w:cs="华文仿宋"/>
          <w:bCs/>
          <w:color w:val="000000"/>
          <w:sz w:val="30"/>
          <w:szCs w:val="30"/>
        </w:rPr>
        <w:t>全日制（全脱产学习）博士研究生学业奖学金标准为全额学费，发放比例100%。博士生第四年不交学费，不发放学业奖学金。全日制（全脱产学习）硕士研究生学业奖学金分为两等，一等为全额学费，发放比例40%；二等为半额学费，发放比例60%。（见表1）</w:t>
      </w:r>
    </w:p>
    <w:p>
      <w:pPr>
        <w:widowControl/>
        <w:snapToGrid/>
        <w:spacing w:line="240" w:lineRule="auto"/>
        <w:ind w:left="0" w:leftChars="0" w:firstLine="482"/>
        <w:jc w:val="center"/>
        <w:textAlignment w:val="auto"/>
        <w:outlineLvl w:val="9"/>
        <w:rPr>
          <w:rFonts w:hint="eastAsia" w:ascii="华文仿宋" w:hAnsi="华文仿宋" w:eastAsia="华文仿宋" w:cs="华文仿宋"/>
          <w:kern w:val="0"/>
          <w:sz w:val="24"/>
          <w:szCs w:val="24"/>
        </w:rPr>
      </w:pPr>
      <w:r>
        <w:rPr>
          <w:rFonts w:hint="eastAsia" w:ascii="华文仿宋" w:hAnsi="华文仿宋" w:eastAsia="华文仿宋" w:cs="华文仿宋"/>
          <w:kern w:val="0"/>
          <w:sz w:val="24"/>
          <w:szCs w:val="24"/>
        </w:rPr>
        <w:t>表1  研究生学业奖学金（元/生/年）</w:t>
      </w:r>
    </w:p>
    <w:tbl>
      <w:tblPr>
        <w:tblW w:w="7704"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2181"/>
        <w:gridCol w:w="1959"/>
        <w:gridCol w:w="1726"/>
        <w:gridCol w:w="18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7" w:hRule="atLeast"/>
          <w:jc w:val="center"/>
        </w:trPr>
        <w:tc>
          <w:tcPr>
            <w:tcW w:w="2181" w:type="dxa"/>
            <w:tcBorders>
              <w:top w:val="single" w:color="000000" w:sz="4" w:space="0"/>
              <w:left w:val="single" w:color="000000" w:sz="4" w:space="0"/>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bCs/>
                <w:color w:val="000000"/>
                <w:kern w:val="0"/>
                <w:sz w:val="24"/>
                <w:szCs w:val="24"/>
              </w:rPr>
            </w:pPr>
            <w:r>
              <w:rPr>
                <w:rFonts w:hint="eastAsia" w:ascii="华文仿宋" w:hAnsi="华文仿宋" w:eastAsia="华文仿宋" w:cs="华文仿宋"/>
                <w:bCs/>
                <w:color w:val="000000"/>
                <w:kern w:val="0"/>
                <w:sz w:val="24"/>
                <w:szCs w:val="24"/>
              </w:rPr>
              <w:t>类别</w:t>
            </w:r>
          </w:p>
        </w:tc>
        <w:tc>
          <w:tcPr>
            <w:tcW w:w="1959"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bCs/>
                <w:color w:val="000000"/>
                <w:kern w:val="0"/>
                <w:sz w:val="24"/>
                <w:szCs w:val="24"/>
              </w:rPr>
            </w:pPr>
            <w:r>
              <w:rPr>
                <w:rFonts w:hint="eastAsia" w:ascii="华文仿宋" w:hAnsi="华文仿宋" w:eastAsia="华文仿宋" w:cs="华文仿宋"/>
                <w:bCs/>
                <w:color w:val="000000"/>
                <w:kern w:val="0"/>
                <w:sz w:val="24"/>
                <w:szCs w:val="24"/>
              </w:rPr>
              <w:t>博士生</w:t>
            </w:r>
          </w:p>
        </w:tc>
        <w:tc>
          <w:tcPr>
            <w:tcW w:w="3564" w:type="dxa"/>
            <w:gridSpan w:val="2"/>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bCs/>
                <w:color w:val="000000"/>
                <w:kern w:val="0"/>
                <w:sz w:val="24"/>
                <w:szCs w:val="24"/>
              </w:rPr>
            </w:pPr>
            <w:r>
              <w:rPr>
                <w:rFonts w:hint="eastAsia" w:ascii="华文仿宋" w:hAnsi="华文仿宋" w:eastAsia="华文仿宋" w:cs="华文仿宋"/>
                <w:bCs/>
                <w:color w:val="000000"/>
                <w:kern w:val="0"/>
                <w:sz w:val="24"/>
                <w:szCs w:val="24"/>
              </w:rPr>
              <w:t>硕士生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jc w:val="center"/>
        </w:trPr>
        <w:tc>
          <w:tcPr>
            <w:tcW w:w="2181" w:type="dxa"/>
            <w:tcBorders>
              <w:top w:val="single" w:color="000000" w:sz="4" w:space="0"/>
              <w:left w:val="single" w:color="000000" w:sz="4" w:space="0"/>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bCs/>
                <w:color w:val="000000"/>
                <w:kern w:val="0"/>
                <w:sz w:val="24"/>
                <w:szCs w:val="24"/>
              </w:rPr>
            </w:pPr>
            <w:r>
              <w:rPr>
                <w:rFonts w:hint="eastAsia" w:ascii="华文仿宋" w:hAnsi="华文仿宋" w:eastAsia="华文仿宋" w:cs="华文仿宋"/>
                <w:bCs/>
                <w:color w:val="000000"/>
                <w:kern w:val="0"/>
                <w:sz w:val="24"/>
                <w:szCs w:val="24"/>
              </w:rPr>
              <w:t>发放比例</w:t>
            </w:r>
          </w:p>
        </w:tc>
        <w:tc>
          <w:tcPr>
            <w:tcW w:w="1959"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100%</w:t>
            </w:r>
          </w:p>
        </w:tc>
        <w:tc>
          <w:tcPr>
            <w:tcW w:w="172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一等40%</w:t>
            </w:r>
          </w:p>
        </w:tc>
        <w:tc>
          <w:tcPr>
            <w:tcW w:w="1838"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二等60%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45" w:hRule="atLeast"/>
          <w:jc w:val="center"/>
        </w:trPr>
        <w:tc>
          <w:tcPr>
            <w:tcW w:w="2181" w:type="dxa"/>
            <w:tcBorders>
              <w:top w:val="single" w:color="000000" w:sz="4" w:space="0"/>
              <w:left w:val="single" w:color="000000" w:sz="4" w:space="0"/>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bCs/>
                <w:color w:val="000000"/>
                <w:kern w:val="0"/>
                <w:sz w:val="24"/>
                <w:szCs w:val="24"/>
              </w:rPr>
            </w:pPr>
            <w:r>
              <w:rPr>
                <w:rFonts w:hint="eastAsia" w:ascii="华文仿宋" w:hAnsi="华文仿宋" w:eastAsia="华文仿宋" w:cs="华文仿宋"/>
                <w:bCs/>
                <w:color w:val="000000"/>
                <w:kern w:val="0"/>
                <w:sz w:val="24"/>
                <w:szCs w:val="24"/>
              </w:rPr>
              <w:t>发放标准</w:t>
            </w:r>
          </w:p>
        </w:tc>
        <w:tc>
          <w:tcPr>
            <w:tcW w:w="1959"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全额学费</w:t>
            </w:r>
          </w:p>
        </w:tc>
        <w:tc>
          <w:tcPr>
            <w:tcW w:w="172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全额学费</w:t>
            </w:r>
          </w:p>
        </w:tc>
        <w:tc>
          <w:tcPr>
            <w:tcW w:w="1838"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半额学费</w:t>
            </w:r>
          </w:p>
        </w:tc>
      </w:tr>
    </w:tbl>
    <w:p>
      <w:pPr>
        <w:snapToGrid/>
        <w:spacing w:beforeLines="50" w:line="240" w:lineRule="auto"/>
        <w:ind w:left="0" w:leftChars="0" w:firstLine="612" w:firstLineChars="200"/>
        <w:textAlignment w:val="auto"/>
        <w:outlineLvl w:val="9"/>
        <w:rPr>
          <w:rFonts w:hint="eastAsia" w:ascii="华文仿宋" w:hAnsi="华文仿宋" w:eastAsia="华文仿宋" w:cs="华文仿宋"/>
          <w:sz w:val="30"/>
          <w:szCs w:val="30"/>
        </w:rPr>
      </w:pPr>
      <w:r>
        <w:rPr>
          <w:rFonts w:hint="eastAsia" w:ascii="黑体" w:hAnsi="黑体" w:eastAsia="黑体" w:cs="黑体"/>
          <w:sz w:val="30"/>
          <w:szCs w:val="30"/>
        </w:rPr>
        <w:t xml:space="preserve">第六条 </w:t>
      </w:r>
      <w:r>
        <w:rPr>
          <w:rFonts w:hint="eastAsia" w:ascii="华文仿宋" w:hAnsi="华文仿宋" w:eastAsia="华文仿宋" w:cs="华文仿宋"/>
          <w:sz w:val="30"/>
          <w:szCs w:val="30"/>
        </w:rPr>
        <w:t xml:space="preserve"> 研究生助学金 研究生助学金用于资助纳入全国研究生招生计划的所有全日制研究生（有固定工资收入的除外），补助研究生基本生活支出，由学校和导师共同承担。研究生档案和工资关系不转入学校者，不享受助学金。导师的资助体现分类实施的原则，资助类别按照授予学位的学科门类分为以下五类：人文（哲学、文学、历史学、教育学、艺术学）、社科（经济学、法学、管理学）、理（农）、医、工。全额资助制博士生导师的资助标准按相关规定执行。</w:t>
      </w:r>
    </w:p>
    <w:p>
      <w:pPr>
        <w:snapToGrid/>
        <w:spacing w:line="240" w:lineRule="auto"/>
        <w:ind w:left="0" w:leftChars="0" w:firstLine="612" w:firstLineChars="200"/>
        <w:textAlignment w:val="auto"/>
        <w:outlineLvl w:val="9"/>
        <w:rPr>
          <w:rFonts w:hint="eastAsia" w:ascii="华文仿宋" w:hAnsi="华文仿宋" w:eastAsia="华文仿宋" w:cs="华文仿宋"/>
          <w:sz w:val="30"/>
          <w:szCs w:val="30"/>
        </w:rPr>
      </w:pPr>
      <w:r>
        <w:rPr>
          <w:rFonts w:hint="eastAsia" w:ascii="华文仿宋" w:hAnsi="华文仿宋" w:eastAsia="华文仿宋" w:cs="华文仿宋"/>
          <w:sz w:val="30"/>
          <w:szCs w:val="30"/>
        </w:rPr>
        <w:t>（一）博士研究生助学金 全日制非在职博士研究生（即工资关系和档案转入学校者）助学金发放比例为100%，第一学年21600元/生/年，分为12个月发放，1800元/生/月。第二至四学年30000元/生/年，分为12个月发放，2500元/生/月（见表2）。所有享受助学金的博士生，必须承担助教、助研（助医）工作。</w:t>
      </w:r>
    </w:p>
    <w:p>
      <w:pPr>
        <w:widowControl/>
        <w:snapToGrid/>
        <w:spacing w:line="240" w:lineRule="auto"/>
        <w:ind w:left="0" w:leftChars="0" w:firstLine="482"/>
        <w:jc w:val="center"/>
        <w:textAlignment w:val="auto"/>
        <w:outlineLvl w:val="9"/>
        <w:rPr>
          <w:rFonts w:hint="eastAsia" w:ascii="华文仿宋" w:hAnsi="华文仿宋" w:eastAsia="华文仿宋" w:cs="华文仿宋"/>
          <w:kern w:val="0"/>
          <w:sz w:val="24"/>
          <w:szCs w:val="24"/>
        </w:rPr>
      </w:pPr>
      <w:r>
        <w:rPr>
          <w:rFonts w:hint="eastAsia" w:ascii="华文仿宋" w:hAnsi="华文仿宋" w:eastAsia="华文仿宋" w:cs="华文仿宋"/>
          <w:kern w:val="0"/>
          <w:sz w:val="24"/>
          <w:szCs w:val="24"/>
        </w:rPr>
        <w:t>表2   博士生助学金构成及标准（元/生/年）</w:t>
      </w:r>
    </w:p>
    <w:tbl>
      <w:tblPr>
        <w:tblW w:w="865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637"/>
        <w:gridCol w:w="1638"/>
        <w:gridCol w:w="1076"/>
        <w:gridCol w:w="1076"/>
        <w:gridCol w:w="1076"/>
        <w:gridCol w:w="1076"/>
        <w:gridCol w:w="10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0" w:hRule="atLeast"/>
        </w:trPr>
        <w:tc>
          <w:tcPr>
            <w:tcW w:w="3275" w:type="dxa"/>
            <w:gridSpan w:val="2"/>
            <w:tcBorders>
              <w:top w:val="single" w:color="000000" w:sz="4" w:space="0"/>
              <w:left w:val="single" w:color="000000" w:sz="4" w:space="0"/>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bCs/>
                <w:color w:val="000000"/>
                <w:kern w:val="0"/>
                <w:sz w:val="24"/>
                <w:szCs w:val="24"/>
              </w:rPr>
            </w:pPr>
            <w:r>
              <w:rPr>
                <w:rFonts w:hint="eastAsia" w:ascii="华文仿宋" w:hAnsi="华文仿宋" w:eastAsia="华文仿宋" w:cs="华文仿宋"/>
                <w:bCs/>
                <w:color w:val="000000"/>
                <w:kern w:val="0"/>
                <w:sz w:val="24"/>
                <w:szCs w:val="24"/>
              </w:rPr>
              <w:t>类    别</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bCs/>
                <w:color w:val="000000"/>
                <w:kern w:val="0"/>
                <w:sz w:val="24"/>
                <w:szCs w:val="24"/>
              </w:rPr>
            </w:pPr>
            <w:r>
              <w:rPr>
                <w:rFonts w:hint="eastAsia" w:ascii="华文仿宋" w:hAnsi="华文仿宋" w:eastAsia="华文仿宋" w:cs="华文仿宋"/>
                <w:bCs/>
                <w:color w:val="000000"/>
                <w:kern w:val="0"/>
                <w:sz w:val="24"/>
                <w:szCs w:val="24"/>
              </w:rPr>
              <w:t>人文</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bCs/>
                <w:color w:val="000000"/>
                <w:kern w:val="0"/>
                <w:sz w:val="24"/>
                <w:szCs w:val="24"/>
              </w:rPr>
            </w:pPr>
            <w:r>
              <w:rPr>
                <w:rFonts w:hint="eastAsia" w:ascii="华文仿宋" w:hAnsi="华文仿宋" w:eastAsia="华文仿宋" w:cs="华文仿宋"/>
                <w:bCs/>
                <w:color w:val="000000"/>
                <w:kern w:val="0"/>
                <w:sz w:val="24"/>
                <w:szCs w:val="24"/>
              </w:rPr>
              <w:t>社科</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bCs/>
                <w:color w:val="000000"/>
                <w:kern w:val="0"/>
                <w:sz w:val="24"/>
                <w:szCs w:val="24"/>
              </w:rPr>
            </w:pPr>
            <w:r>
              <w:rPr>
                <w:rFonts w:hint="eastAsia" w:ascii="华文仿宋" w:hAnsi="华文仿宋" w:eastAsia="华文仿宋" w:cs="华文仿宋"/>
                <w:bCs/>
                <w:color w:val="000000"/>
                <w:kern w:val="0"/>
                <w:sz w:val="24"/>
                <w:szCs w:val="24"/>
              </w:rPr>
              <w:t>理（农）</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bCs/>
                <w:color w:val="000000"/>
                <w:kern w:val="0"/>
                <w:sz w:val="24"/>
                <w:szCs w:val="24"/>
              </w:rPr>
            </w:pPr>
            <w:r>
              <w:rPr>
                <w:rFonts w:hint="eastAsia" w:ascii="华文仿宋" w:hAnsi="华文仿宋" w:eastAsia="华文仿宋" w:cs="华文仿宋"/>
                <w:bCs/>
                <w:color w:val="000000"/>
                <w:kern w:val="0"/>
                <w:sz w:val="24"/>
                <w:szCs w:val="24"/>
              </w:rPr>
              <w:t>医学</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bCs/>
                <w:color w:val="000000"/>
                <w:kern w:val="0"/>
                <w:sz w:val="24"/>
                <w:szCs w:val="24"/>
              </w:rPr>
            </w:pPr>
            <w:r>
              <w:rPr>
                <w:rFonts w:hint="eastAsia" w:ascii="华文仿宋" w:hAnsi="华文仿宋" w:eastAsia="华文仿宋" w:cs="华文仿宋"/>
                <w:bCs/>
                <w:color w:val="000000"/>
                <w:kern w:val="0"/>
                <w:sz w:val="24"/>
                <w:szCs w:val="24"/>
              </w:rPr>
              <w:t>工学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0" w:hRule="atLeast"/>
        </w:trPr>
        <w:tc>
          <w:tcPr>
            <w:tcW w:w="1637" w:type="dxa"/>
            <w:vMerge w:val="restart"/>
            <w:tcBorders>
              <w:top w:val="nil"/>
              <w:left w:val="single" w:color="000000" w:sz="4" w:space="0"/>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bCs/>
                <w:color w:val="000000"/>
                <w:kern w:val="0"/>
                <w:sz w:val="24"/>
                <w:szCs w:val="24"/>
              </w:rPr>
            </w:pPr>
            <w:r>
              <w:rPr>
                <w:rFonts w:hint="eastAsia" w:ascii="华文仿宋" w:hAnsi="华文仿宋" w:eastAsia="华文仿宋" w:cs="华文仿宋"/>
                <w:bCs/>
                <w:color w:val="000000"/>
                <w:kern w:val="0"/>
                <w:sz w:val="24"/>
                <w:szCs w:val="24"/>
              </w:rPr>
              <w:t>第一年</w:t>
            </w:r>
          </w:p>
        </w:tc>
        <w:tc>
          <w:tcPr>
            <w:tcW w:w="1638"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bCs/>
                <w:color w:val="000000"/>
                <w:kern w:val="0"/>
                <w:sz w:val="24"/>
                <w:szCs w:val="24"/>
              </w:rPr>
            </w:pPr>
            <w:r>
              <w:rPr>
                <w:rFonts w:hint="eastAsia" w:ascii="华文仿宋" w:hAnsi="华文仿宋" w:eastAsia="华文仿宋" w:cs="华文仿宋"/>
                <w:bCs/>
                <w:color w:val="000000"/>
                <w:kern w:val="0"/>
                <w:sz w:val="24"/>
                <w:szCs w:val="24"/>
              </w:rPr>
              <w:t>学校提供</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20400</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19200</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18600</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18000</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16800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0" w:hRule="atLeast"/>
        </w:trPr>
        <w:tc>
          <w:tcPr>
            <w:tcW w:w="1637" w:type="dxa"/>
            <w:vMerge w:val="continue"/>
            <w:tcBorders>
              <w:top w:val="nil"/>
              <w:left w:val="single" w:color="000000" w:sz="4" w:space="0"/>
              <w:bottom w:val="single" w:color="000000" w:sz="4" w:space="0"/>
              <w:right w:val="single" w:color="000000" w:sz="4" w:space="0"/>
            </w:tcBorders>
            <w:vAlign w:val="center"/>
          </w:tcPr>
          <w:p>
            <w:pPr>
              <w:widowControl/>
              <w:snapToGrid/>
              <w:spacing w:line="240" w:lineRule="auto"/>
              <w:ind w:left="0" w:leftChars="0"/>
              <w:jc w:val="left"/>
              <w:textAlignment w:val="auto"/>
              <w:outlineLvl w:val="9"/>
              <w:rPr>
                <w:rFonts w:hint="eastAsia" w:ascii="华文仿宋" w:hAnsi="华文仿宋" w:eastAsia="华文仿宋" w:cs="华文仿宋"/>
                <w:bCs/>
                <w:color w:val="000000"/>
                <w:kern w:val="0"/>
                <w:sz w:val="24"/>
                <w:szCs w:val="24"/>
              </w:rPr>
            </w:pPr>
          </w:p>
        </w:tc>
        <w:tc>
          <w:tcPr>
            <w:tcW w:w="1638"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bCs/>
                <w:color w:val="000000"/>
                <w:kern w:val="0"/>
                <w:sz w:val="24"/>
                <w:szCs w:val="24"/>
              </w:rPr>
            </w:pPr>
            <w:r>
              <w:rPr>
                <w:rFonts w:hint="eastAsia" w:ascii="华文仿宋" w:hAnsi="华文仿宋" w:eastAsia="华文仿宋" w:cs="华文仿宋"/>
                <w:bCs/>
                <w:color w:val="000000"/>
                <w:kern w:val="0"/>
                <w:sz w:val="24"/>
                <w:szCs w:val="24"/>
              </w:rPr>
              <w:t>导师提供</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1200</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2400</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3000</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3600</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4800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0" w:hRule="atLeast"/>
        </w:trPr>
        <w:tc>
          <w:tcPr>
            <w:tcW w:w="1637" w:type="dxa"/>
            <w:vMerge w:val="continue"/>
            <w:tcBorders>
              <w:top w:val="nil"/>
              <w:left w:val="single" w:color="000000" w:sz="4" w:space="0"/>
              <w:bottom w:val="single" w:color="000000" w:sz="4" w:space="0"/>
              <w:right w:val="single" w:color="000000" w:sz="4" w:space="0"/>
            </w:tcBorders>
            <w:vAlign w:val="center"/>
          </w:tcPr>
          <w:p>
            <w:pPr>
              <w:widowControl/>
              <w:snapToGrid/>
              <w:spacing w:line="240" w:lineRule="auto"/>
              <w:ind w:left="0" w:leftChars="0"/>
              <w:jc w:val="left"/>
              <w:textAlignment w:val="auto"/>
              <w:outlineLvl w:val="9"/>
              <w:rPr>
                <w:rFonts w:hint="eastAsia" w:ascii="华文仿宋" w:hAnsi="华文仿宋" w:eastAsia="华文仿宋" w:cs="华文仿宋"/>
                <w:bCs/>
                <w:color w:val="000000"/>
                <w:kern w:val="0"/>
                <w:sz w:val="24"/>
                <w:szCs w:val="24"/>
              </w:rPr>
            </w:pPr>
          </w:p>
        </w:tc>
        <w:tc>
          <w:tcPr>
            <w:tcW w:w="1638"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bCs/>
                <w:color w:val="000000"/>
                <w:kern w:val="0"/>
                <w:sz w:val="24"/>
                <w:szCs w:val="24"/>
              </w:rPr>
            </w:pPr>
            <w:r>
              <w:rPr>
                <w:rFonts w:hint="eastAsia" w:ascii="华文仿宋" w:hAnsi="华文仿宋" w:eastAsia="华文仿宋" w:cs="华文仿宋"/>
                <w:bCs/>
                <w:color w:val="000000"/>
                <w:kern w:val="0"/>
                <w:sz w:val="24"/>
                <w:szCs w:val="24"/>
              </w:rPr>
              <w:t>合计</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21600</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21600</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21600</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21600</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21600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0" w:hRule="atLeast"/>
        </w:trPr>
        <w:tc>
          <w:tcPr>
            <w:tcW w:w="1637" w:type="dxa"/>
            <w:vMerge w:val="restart"/>
            <w:tcBorders>
              <w:top w:val="nil"/>
              <w:left w:val="single" w:color="000000" w:sz="4" w:space="0"/>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bCs/>
                <w:color w:val="000000"/>
                <w:kern w:val="0"/>
                <w:sz w:val="24"/>
                <w:szCs w:val="24"/>
              </w:rPr>
            </w:pPr>
            <w:r>
              <w:rPr>
                <w:rFonts w:hint="eastAsia" w:ascii="华文仿宋" w:hAnsi="华文仿宋" w:eastAsia="华文仿宋" w:cs="华文仿宋"/>
                <w:bCs/>
                <w:color w:val="000000"/>
                <w:kern w:val="0"/>
                <w:sz w:val="24"/>
                <w:szCs w:val="24"/>
              </w:rPr>
              <w:t>第二三四年</w:t>
            </w:r>
          </w:p>
        </w:tc>
        <w:tc>
          <w:tcPr>
            <w:tcW w:w="1638"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bCs/>
                <w:color w:val="000000"/>
                <w:kern w:val="0"/>
                <w:sz w:val="24"/>
                <w:szCs w:val="24"/>
              </w:rPr>
            </w:pPr>
            <w:r>
              <w:rPr>
                <w:rFonts w:hint="eastAsia" w:ascii="华文仿宋" w:hAnsi="华文仿宋" w:eastAsia="华文仿宋" w:cs="华文仿宋"/>
                <w:bCs/>
                <w:color w:val="000000"/>
                <w:kern w:val="0"/>
                <w:sz w:val="24"/>
                <w:szCs w:val="24"/>
              </w:rPr>
              <w:t>学校提供</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28800</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27600</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27000</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26400</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25200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0" w:hRule="atLeast"/>
        </w:trPr>
        <w:tc>
          <w:tcPr>
            <w:tcW w:w="1637" w:type="dxa"/>
            <w:vMerge w:val="continue"/>
            <w:tcBorders>
              <w:top w:val="nil"/>
              <w:left w:val="single" w:color="000000" w:sz="4" w:space="0"/>
              <w:bottom w:val="single" w:color="000000" w:sz="4" w:space="0"/>
              <w:right w:val="single" w:color="000000" w:sz="4" w:space="0"/>
            </w:tcBorders>
            <w:vAlign w:val="center"/>
          </w:tcPr>
          <w:p>
            <w:pPr>
              <w:widowControl/>
              <w:snapToGrid/>
              <w:spacing w:line="240" w:lineRule="auto"/>
              <w:ind w:left="0" w:leftChars="0"/>
              <w:jc w:val="left"/>
              <w:textAlignment w:val="auto"/>
              <w:outlineLvl w:val="9"/>
              <w:rPr>
                <w:rFonts w:hint="eastAsia" w:ascii="华文仿宋" w:hAnsi="华文仿宋" w:eastAsia="华文仿宋" w:cs="华文仿宋"/>
                <w:bCs/>
                <w:color w:val="000000"/>
                <w:kern w:val="0"/>
                <w:sz w:val="24"/>
                <w:szCs w:val="24"/>
              </w:rPr>
            </w:pPr>
          </w:p>
        </w:tc>
        <w:tc>
          <w:tcPr>
            <w:tcW w:w="1638"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bCs/>
                <w:color w:val="000000"/>
                <w:kern w:val="0"/>
                <w:sz w:val="24"/>
                <w:szCs w:val="24"/>
              </w:rPr>
            </w:pPr>
            <w:r>
              <w:rPr>
                <w:rFonts w:hint="eastAsia" w:ascii="华文仿宋" w:hAnsi="华文仿宋" w:eastAsia="华文仿宋" w:cs="华文仿宋"/>
                <w:bCs/>
                <w:color w:val="000000"/>
                <w:kern w:val="0"/>
                <w:sz w:val="24"/>
                <w:szCs w:val="24"/>
              </w:rPr>
              <w:t>导师提供</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1200</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2400</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3000</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3600</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4800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0" w:hRule="atLeast"/>
        </w:trPr>
        <w:tc>
          <w:tcPr>
            <w:tcW w:w="1637" w:type="dxa"/>
            <w:vMerge w:val="continue"/>
            <w:tcBorders>
              <w:top w:val="nil"/>
              <w:left w:val="single" w:color="000000" w:sz="4" w:space="0"/>
              <w:bottom w:val="single" w:color="000000" w:sz="4" w:space="0"/>
              <w:right w:val="single" w:color="000000" w:sz="4" w:space="0"/>
            </w:tcBorders>
            <w:vAlign w:val="center"/>
          </w:tcPr>
          <w:p>
            <w:pPr>
              <w:widowControl/>
              <w:snapToGrid/>
              <w:spacing w:line="240" w:lineRule="auto"/>
              <w:ind w:left="0" w:leftChars="0"/>
              <w:jc w:val="left"/>
              <w:textAlignment w:val="auto"/>
              <w:outlineLvl w:val="9"/>
              <w:rPr>
                <w:rFonts w:hint="eastAsia" w:ascii="华文仿宋" w:hAnsi="华文仿宋" w:eastAsia="华文仿宋" w:cs="华文仿宋"/>
                <w:bCs/>
                <w:color w:val="000000"/>
                <w:kern w:val="0"/>
                <w:sz w:val="24"/>
                <w:szCs w:val="24"/>
              </w:rPr>
            </w:pPr>
          </w:p>
        </w:tc>
        <w:tc>
          <w:tcPr>
            <w:tcW w:w="1638"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bCs/>
                <w:color w:val="000000"/>
                <w:kern w:val="0"/>
                <w:sz w:val="24"/>
                <w:szCs w:val="24"/>
              </w:rPr>
            </w:pPr>
            <w:r>
              <w:rPr>
                <w:rFonts w:hint="eastAsia" w:ascii="华文仿宋" w:hAnsi="华文仿宋" w:eastAsia="华文仿宋" w:cs="华文仿宋"/>
                <w:bCs/>
                <w:color w:val="000000"/>
                <w:kern w:val="0"/>
                <w:sz w:val="24"/>
                <w:szCs w:val="24"/>
              </w:rPr>
              <w:t>合计</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30000</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30000</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30000</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30000</w:t>
            </w:r>
          </w:p>
        </w:tc>
        <w:tc>
          <w:tcPr>
            <w:tcW w:w="1076" w:type="dxa"/>
            <w:tcBorders>
              <w:top w:val="single" w:color="000000" w:sz="4" w:space="0"/>
              <w:left w:val="nil"/>
              <w:bottom w:val="single" w:color="000000" w:sz="4" w:space="0"/>
              <w:right w:val="single" w:color="000000" w:sz="4" w:space="0"/>
            </w:tcBorders>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30000</w:t>
            </w:r>
          </w:p>
        </w:tc>
      </w:tr>
    </w:tbl>
    <w:p>
      <w:pPr>
        <w:snapToGrid/>
        <w:spacing w:beforeLines="50" w:line="240" w:lineRule="auto"/>
        <w:ind w:left="0" w:leftChars="0" w:firstLine="612" w:firstLineChars="200"/>
        <w:textAlignment w:val="auto"/>
        <w:outlineLvl w:val="9"/>
        <w:rPr>
          <w:rFonts w:hint="eastAsia" w:ascii="华文仿宋" w:hAnsi="华文仿宋" w:eastAsia="华文仿宋" w:cs="华文仿宋"/>
          <w:sz w:val="30"/>
          <w:szCs w:val="30"/>
        </w:rPr>
      </w:pPr>
      <w:r>
        <w:rPr>
          <w:rFonts w:hint="eastAsia" w:ascii="华文仿宋" w:hAnsi="华文仿宋" w:eastAsia="华文仿宋" w:cs="华文仿宋"/>
          <w:sz w:val="30"/>
          <w:szCs w:val="30"/>
        </w:rPr>
        <w:t>（二）硕士研究生助学金 全日制非在职硕士研究生（即工资关系和档案转入学校者，不含MBA、MPA）助学金7200元/生/年，分为12个月发放，600元/生/月。学术学位硕士研究生助学金由学校和导师共同承担，专业学位研究生助学金由学校和院（系）或联合培养基地共同承担。学校对招收专业学位硕士研究生导师资助情况不做硬性要求。（见表3）</w:t>
      </w:r>
    </w:p>
    <w:p>
      <w:pPr>
        <w:widowControl/>
        <w:snapToGrid/>
        <w:spacing w:line="240" w:lineRule="auto"/>
        <w:ind w:left="0" w:leftChars="0" w:firstLine="482"/>
        <w:jc w:val="center"/>
        <w:textAlignment w:val="auto"/>
        <w:outlineLvl w:val="9"/>
        <w:rPr>
          <w:rFonts w:hint="eastAsia" w:ascii="华文仿宋" w:hAnsi="华文仿宋" w:eastAsia="华文仿宋" w:cs="华文仿宋"/>
          <w:kern w:val="0"/>
          <w:sz w:val="24"/>
          <w:szCs w:val="24"/>
        </w:rPr>
      </w:pPr>
      <w:r>
        <w:rPr>
          <w:rFonts w:hint="eastAsia" w:ascii="华文仿宋" w:hAnsi="华文仿宋" w:eastAsia="华文仿宋" w:cs="华文仿宋"/>
          <w:kern w:val="0"/>
          <w:sz w:val="24"/>
          <w:szCs w:val="24"/>
        </w:rPr>
        <w:t>表3  硕士研究生助学金构成及标准（元/生/年）</w:t>
      </w:r>
    </w:p>
    <w:tbl>
      <w:tblPr>
        <w:tblW w:w="891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365"/>
        <w:gridCol w:w="3122"/>
        <w:gridCol w:w="885"/>
        <w:gridCol w:w="885"/>
        <w:gridCol w:w="885"/>
        <w:gridCol w:w="885"/>
        <w:gridCol w:w="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5" w:hRule="atLeast"/>
          <w:jc w:val="center"/>
        </w:trPr>
        <w:tc>
          <w:tcPr>
            <w:tcW w:w="4487" w:type="dxa"/>
            <w:gridSpan w:val="2"/>
            <w:vAlign w:val="center"/>
          </w:tcPr>
          <w:p>
            <w:pPr>
              <w:widowControl/>
              <w:snapToGrid/>
              <w:spacing w:line="240" w:lineRule="auto"/>
              <w:ind w:left="0" w:leftChars="0"/>
              <w:jc w:val="center"/>
              <w:textAlignment w:val="auto"/>
              <w:outlineLvl w:val="9"/>
              <w:rPr>
                <w:rFonts w:hint="eastAsia" w:ascii="华文仿宋" w:hAnsi="华文仿宋" w:eastAsia="华文仿宋" w:cs="华文仿宋"/>
                <w:bCs/>
                <w:color w:val="000000"/>
                <w:kern w:val="0"/>
                <w:sz w:val="24"/>
                <w:szCs w:val="24"/>
              </w:rPr>
            </w:pPr>
            <w:r>
              <w:rPr>
                <w:rFonts w:hint="eastAsia" w:ascii="华文仿宋" w:hAnsi="华文仿宋" w:eastAsia="华文仿宋" w:cs="华文仿宋"/>
                <w:bCs/>
                <w:color w:val="000000"/>
                <w:kern w:val="0"/>
                <w:sz w:val="24"/>
                <w:szCs w:val="24"/>
              </w:rPr>
              <w:t>类      别</w:t>
            </w:r>
          </w:p>
        </w:tc>
        <w:tc>
          <w:tcPr>
            <w:tcW w:w="885"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bCs/>
                <w:color w:val="000000"/>
                <w:kern w:val="0"/>
                <w:sz w:val="24"/>
                <w:szCs w:val="24"/>
              </w:rPr>
            </w:pPr>
            <w:r>
              <w:rPr>
                <w:rFonts w:hint="eastAsia" w:ascii="华文仿宋" w:hAnsi="华文仿宋" w:eastAsia="华文仿宋" w:cs="华文仿宋"/>
                <w:bCs/>
                <w:color w:val="000000"/>
                <w:kern w:val="0"/>
                <w:sz w:val="24"/>
                <w:szCs w:val="24"/>
              </w:rPr>
              <w:t>人文</w:t>
            </w:r>
          </w:p>
        </w:tc>
        <w:tc>
          <w:tcPr>
            <w:tcW w:w="885"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bCs/>
                <w:color w:val="000000"/>
                <w:kern w:val="0"/>
                <w:sz w:val="24"/>
                <w:szCs w:val="24"/>
              </w:rPr>
            </w:pPr>
            <w:r>
              <w:rPr>
                <w:rFonts w:hint="eastAsia" w:ascii="华文仿宋" w:hAnsi="华文仿宋" w:eastAsia="华文仿宋" w:cs="华文仿宋"/>
                <w:bCs/>
                <w:color w:val="000000"/>
                <w:kern w:val="0"/>
                <w:sz w:val="24"/>
                <w:szCs w:val="24"/>
              </w:rPr>
              <w:t>社科</w:t>
            </w:r>
          </w:p>
        </w:tc>
        <w:tc>
          <w:tcPr>
            <w:tcW w:w="885"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bCs/>
                <w:color w:val="000000"/>
                <w:kern w:val="0"/>
                <w:sz w:val="24"/>
                <w:szCs w:val="24"/>
              </w:rPr>
            </w:pPr>
            <w:r>
              <w:rPr>
                <w:rFonts w:hint="eastAsia" w:ascii="华文仿宋" w:hAnsi="华文仿宋" w:eastAsia="华文仿宋" w:cs="华文仿宋"/>
                <w:bCs/>
                <w:color w:val="000000"/>
                <w:kern w:val="0"/>
                <w:sz w:val="24"/>
                <w:szCs w:val="24"/>
              </w:rPr>
              <w:t>理（农）</w:t>
            </w:r>
          </w:p>
        </w:tc>
        <w:tc>
          <w:tcPr>
            <w:tcW w:w="885"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bCs/>
                <w:color w:val="000000"/>
                <w:kern w:val="0"/>
                <w:sz w:val="24"/>
                <w:szCs w:val="24"/>
              </w:rPr>
            </w:pPr>
            <w:r>
              <w:rPr>
                <w:rFonts w:hint="eastAsia" w:ascii="华文仿宋" w:hAnsi="华文仿宋" w:eastAsia="华文仿宋" w:cs="华文仿宋"/>
                <w:bCs/>
                <w:color w:val="000000"/>
                <w:kern w:val="0"/>
                <w:sz w:val="24"/>
                <w:szCs w:val="24"/>
              </w:rPr>
              <w:t>医学</w:t>
            </w:r>
          </w:p>
        </w:tc>
        <w:tc>
          <w:tcPr>
            <w:tcW w:w="886"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bCs/>
                <w:color w:val="000000"/>
                <w:kern w:val="0"/>
                <w:sz w:val="24"/>
                <w:szCs w:val="24"/>
              </w:rPr>
            </w:pPr>
            <w:r>
              <w:rPr>
                <w:rFonts w:hint="eastAsia" w:ascii="华文仿宋" w:hAnsi="华文仿宋" w:eastAsia="华文仿宋" w:cs="华文仿宋"/>
                <w:bCs/>
                <w:color w:val="000000"/>
                <w:kern w:val="0"/>
                <w:sz w:val="24"/>
                <w:szCs w:val="24"/>
              </w:rPr>
              <w:t>工学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5" w:hRule="atLeast"/>
          <w:jc w:val="center"/>
        </w:trPr>
        <w:tc>
          <w:tcPr>
            <w:tcW w:w="1365" w:type="dxa"/>
            <w:vMerge w:val="restart"/>
            <w:vAlign w:val="center"/>
          </w:tcPr>
          <w:p>
            <w:pPr>
              <w:widowControl/>
              <w:snapToGrid/>
              <w:spacing w:line="240" w:lineRule="auto"/>
              <w:ind w:left="0" w:leftChars="0"/>
              <w:jc w:val="center"/>
              <w:textAlignment w:val="auto"/>
              <w:outlineLvl w:val="9"/>
              <w:rPr>
                <w:rFonts w:hint="eastAsia" w:ascii="华文仿宋" w:hAnsi="华文仿宋" w:eastAsia="华文仿宋" w:cs="华文仿宋"/>
                <w:bCs/>
                <w:color w:val="000000"/>
                <w:kern w:val="0"/>
                <w:sz w:val="24"/>
                <w:szCs w:val="24"/>
              </w:rPr>
            </w:pPr>
            <w:r>
              <w:rPr>
                <w:rFonts w:hint="eastAsia" w:ascii="华文仿宋" w:hAnsi="华文仿宋" w:eastAsia="华文仿宋" w:cs="华文仿宋"/>
                <w:bCs/>
                <w:color w:val="000000"/>
                <w:kern w:val="0"/>
                <w:sz w:val="24"/>
                <w:szCs w:val="24"/>
              </w:rPr>
              <w:t>学术学位</w:t>
            </w:r>
          </w:p>
        </w:tc>
        <w:tc>
          <w:tcPr>
            <w:tcW w:w="3122"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bCs/>
                <w:color w:val="000000"/>
                <w:kern w:val="0"/>
                <w:sz w:val="24"/>
                <w:szCs w:val="24"/>
              </w:rPr>
            </w:pPr>
            <w:r>
              <w:rPr>
                <w:rFonts w:hint="eastAsia" w:ascii="华文仿宋" w:hAnsi="华文仿宋" w:eastAsia="华文仿宋" w:cs="华文仿宋"/>
                <w:bCs/>
                <w:color w:val="000000"/>
                <w:kern w:val="0"/>
                <w:sz w:val="24"/>
                <w:szCs w:val="24"/>
              </w:rPr>
              <w:t>学校提供</w:t>
            </w:r>
          </w:p>
        </w:tc>
        <w:tc>
          <w:tcPr>
            <w:tcW w:w="885"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6960</w:t>
            </w:r>
          </w:p>
        </w:tc>
        <w:tc>
          <w:tcPr>
            <w:tcW w:w="885"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6840</w:t>
            </w:r>
          </w:p>
        </w:tc>
        <w:tc>
          <w:tcPr>
            <w:tcW w:w="885"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6480</w:t>
            </w:r>
          </w:p>
        </w:tc>
        <w:tc>
          <w:tcPr>
            <w:tcW w:w="885"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6240</w:t>
            </w:r>
          </w:p>
        </w:tc>
        <w:tc>
          <w:tcPr>
            <w:tcW w:w="886"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5" w:hRule="atLeast"/>
          <w:jc w:val="center"/>
        </w:trPr>
        <w:tc>
          <w:tcPr>
            <w:tcW w:w="1365" w:type="dxa"/>
            <w:vMerge w:val="continue"/>
            <w:vAlign w:val="center"/>
          </w:tcPr>
          <w:p>
            <w:pPr>
              <w:widowControl/>
              <w:snapToGrid/>
              <w:spacing w:line="240" w:lineRule="auto"/>
              <w:ind w:left="0" w:leftChars="0"/>
              <w:jc w:val="left"/>
              <w:textAlignment w:val="auto"/>
              <w:outlineLvl w:val="9"/>
              <w:rPr>
                <w:rFonts w:hint="eastAsia" w:ascii="华文仿宋" w:hAnsi="华文仿宋" w:eastAsia="华文仿宋" w:cs="华文仿宋"/>
                <w:bCs/>
                <w:color w:val="000000"/>
                <w:kern w:val="0"/>
                <w:sz w:val="24"/>
                <w:szCs w:val="24"/>
              </w:rPr>
            </w:pPr>
          </w:p>
        </w:tc>
        <w:tc>
          <w:tcPr>
            <w:tcW w:w="3122"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bCs/>
                <w:color w:val="000000"/>
                <w:kern w:val="0"/>
                <w:sz w:val="24"/>
                <w:szCs w:val="24"/>
              </w:rPr>
            </w:pPr>
            <w:r>
              <w:rPr>
                <w:rFonts w:hint="eastAsia" w:ascii="华文仿宋" w:hAnsi="华文仿宋" w:eastAsia="华文仿宋" w:cs="华文仿宋"/>
                <w:bCs/>
                <w:color w:val="000000"/>
                <w:kern w:val="0"/>
                <w:sz w:val="24"/>
                <w:szCs w:val="24"/>
              </w:rPr>
              <w:t>导师提供</w:t>
            </w:r>
          </w:p>
        </w:tc>
        <w:tc>
          <w:tcPr>
            <w:tcW w:w="885"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240</w:t>
            </w:r>
          </w:p>
        </w:tc>
        <w:tc>
          <w:tcPr>
            <w:tcW w:w="885"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360</w:t>
            </w:r>
          </w:p>
        </w:tc>
        <w:tc>
          <w:tcPr>
            <w:tcW w:w="885"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720</w:t>
            </w:r>
          </w:p>
        </w:tc>
        <w:tc>
          <w:tcPr>
            <w:tcW w:w="885"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960</w:t>
            </w:r>
          </w:p>
        </w:tc>
        <w:tc>
          <w:tcPr>
            <w:tcW w:w="886"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5" w:hRule="atLeast"/>
          <w:jc w:val="center"/>
        </w:trPr>
        <w:tc>
          <w:tcPr>
            <w:tcW w:w="1365" w:type="dxa"/>
            <w:vMerge w:val="continue"/>
            <w:vAlign w:val="center"/>
          </w:tcPr>
          <w:p>
            <w:pPr>
              <w:widowControl/>
              <w:snapToGrid/>
              <w:spacing w:line="240" w:lineRule="auto"/>
              <w:ind w:left="0" w:leftChars="0"/>
              <w:jc w:val="left"/>
              <w:textAlignment w:val="auto"/>
              <w:outlineLvl w:val="9"/>
              <w:rPr>
                <w:rFonts w:hint="eastAsia" w:ascii="华文仿宋" w:hAnsi="华文仿宋" w:eastAsia="华文仿宋" w:cs="华文仿宋"/>
                <w:bCs/>
                <w:color w:val="000000"/>
                <w:kern w:val="0"/>
                <w:sz w:val="24"/>
                <w:szCs w:val="24"/>
              </w:rPr>
            </w:pPr>
          </w:p>
        </w:tc>
        <w:tc>
          <w:tcPr>
            <w:tcW w:w="3122"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bCs/>
                <w:color w:val="000000"/>
                <w:kern w:val="0"/>
                <w:sz w:val="24"/>
                <w:szCs w:val="24"/>
              </w:rPr>
            </w:pPr>
            <w:r>
              <w:rPr>
                <w:rFonts w:hint="eastAsia" w:ascii="华文仿宋" w:hAnsi="华文仿宋" w:eastAsia="华文仿宋" w:cs="华文仿宋"/>
                <w:bCs/>
                <w:color w:val="000000"/>
                <w:kern w:val="0"/>
                <w:sz w:val="24"/>
                <w:szCs w:val="24"/>
              </w:rPr>
              <w:t>合计</w:t>
            </w:r>
          </w:p>
        </w:tc>
        <w:tc>
          <w:tcPr>
            <w:tcW w:w="885"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7200</w:t>
            </w:r>
          </w:p>
        </w:tc>
        <w:tc>
          <w:tcPr>
            <w:tcW w:w="885"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7200</w:t>
            </w:r>
          </w:p>
        </w:tc>
        <w:tc>
          <w:tcPr>
            <w:tcW w:w="885"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7200</w:t>
            </w:r>
          </w:p>
        </w:tc>
        <w:tc>
          <w:tcPr>
            <w:tcW w:w="885"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7200</w:t>
            </w:r>
          </w:p>
        </w:tc>
        <w:tc>
          <w:tcPr>
            <w:tcW w:w="886"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7200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5" w:hRule="atLeast"/>
          <w:jc w:val="center"/>
        </w:trPr>
        <w:tc>
          <w:tcPr>
            <w:tcW w:w="1365" w:type="dxa"/>
            <w:vMerge w:val="restart"/>
            <w:vAlign w:val="center"/>
          </w:tcPr>
          <w:p>
            <w:pPr>
              <w:widowControl/>
              <w:snapToGrid/>
              <w:spacing w:line="240" w:lineRule="auto"/>
              <w:ind w:left="0" w:leftChars="0"/>
              <w:jc w:val="center"/>
              <w:textAlignment w:val="auto"/>
              <w:outlineLvl w:val="9"/>
              <w:rPr>
                <w:rFonts w:hint="eastAsia" w:ascii="华文仿宋" w:hAnsi="华文仿宋" w:eastAsia="华文仿宋" w:cs="华文仿宋"/>
                <w:bCs/>
                <w:color w:val="000000"/>
                <w:kern w:val="0"/>
                <w:sz w:val="24"/>
                <w:szCs w:val="24"/>
              </w:rPr>
            </w:pPr>
            <w:r>
              <w:rPr>
                <w:rFonts w:hint="eastAsia" w:ascii="华文仿宋" w:hAnsi="华文仿宋" w:eastAsia="华文仿宋" w:cs="华文仿宋"/>
                <w:bCs/>
                <w:color w:val="000000"/>
                <w:kern w:val="0"/>
                <w:sz w:val="24"/>
                <w:szCs w:val="24"/>
              </w:rPr>
              <w:t>专业学位</w:t>
            </w:r>
          </w:p>
        </w:tc>
        <w:tc>
          <w:tcPr>
            <w:tcW w:w="3122"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bCs/>
                <w:color w:val="000000"/>
                <w:kern w:val="0"/>
                <w:sz w:val="24"/>
                <w:szCs w:val="24"/>
              </w:rPr>
            </w:pPr>
            <w:r>
              <w:rPr>
                <w:rFonts w:hint="eastAsia" w:ascii="华文仿宋" w:hAnsi="华文仿宋" w:eastAsia="华文仿宋" w:cs="华文仿宋"/>
                <w:bCs/>
                <w:color w:val="000000"/>
                <w:kern w:val="0"/>
                <w:sz w:val="24"/>
                <w:szCs w:val="24"/>
              </w:rPr>
              <w:t>学校提供</w:t>
            </w:r>
          </w:p>
        </w:tc>
        <w:tc>
          <w:tcPr>
            <w:tcW w:w="885"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6960</w:t>
            </w:r>
          </w:p>
        </w:tc>
        <w:tc>
          <w:tcPr>
            <w:tcW w:w="885"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6840</w:t>
            </w:r>
          </w:p>
        </w:tc>
        <w:tc>
          <w:tcPr>
            <w:tcW w:w="885"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6480</w:t>
            </w:r>
          </w:p>
        </w:tc>
        <w:tc>
          <w:tcPr>
            <w:tcW w:w="885"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6240</w:t>
            </w:r>
          </w:p>
        </w:tc>
        <w:tc>
          <w:tcPr>
            <w:tcW w:w="886"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5" w:hRule="atLeast"/>
          <w:jc w:val="center"/>
        </w:trPr>
        <w:tc>
          <w:tcPr>
            <w:tcW w:w="1365" w:type="dxa"/>
            <w:vMerge w:val="continue"/>
            <w:vAlign w:val="center"/>
          </w:tcPr>
          <w:p>
            <w:pPr>
              <w:widowControl/>
              <w:snapToGrid/>
              <w:spacing w:line="240" w:lineRule="auto"/>
              <w:ind w:left="0" w:leftChars="0"/>
              <w:jc w:val="left"/>
              <w:textAlignment w:val="auto"/>
              <w:outlineLvl w:val="9"/>
              <w:rPr>
                <w:rFonts w:hint="eastAsia" w:ascii="华文仿宋" w:hAnsi="华文仿宋" w:eastAsia="华文仿宋" w:cs="华文仿宋"/>
                <w:bCs/>
                <w:color w:val="000000"/>
                <w:kern w:val="0"/>
                <w:sz w:val="24"/>
                <w:szCs w:val="24"/>
              </w:rPr>
            </w:pPr>
          </w:p>
        </w:tc>
        <w:tc>
          <w:tcPr>
            <w:tcW w:w="3122"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bCs/>
                <w:color w:val="000000"/>
                <w:kern w:val="0"/>
                <w:sz w:val="24"/>
                <w:szCs w:val="24"/>
              </w:rPr>
            </w:pPr>
            <w:r>
              <w:rPr>
                <w:rFonts w:hint="eastAsia" w:ascii="华文仿宋" w:hAnsi="华文仿宋" w:eastAsia="华文仿宋" w:cs="华文仿宋"/>
                <w:bCs/>
                <w:color w:val="000000"/>
                <w:kern w:val="0"/>
                <w:sz w:val="24"/>
                <w:szCs w:val="24"/>
              </w:rPr>
              <w:t>院（系）或联合培养基地提供</w:t>
            </w:r>
          </w:p>
        </w:tc>
        <w:tc>
          <w:tcPr>
            <w:tcW w:w="885"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240</w:t>
            </w:r>
          </w:p>
        </w:tc>
        <w:tc>
          <w:tcPr>
            <w:tcW w:w="885"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360</w:t>
            </w:r>
          </w:p>
        </w:tc>
        <w:tc>
          <w:tcPr>
            <w:tcW w:w="885"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720</w:t>
            </w:r>
          </w:p>
        </w:tc>
        <w:tc>
          <w:tcPr>
            <w:tcW w:w="885"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960</w:t>
            </w:r>
          </w:p>
        </w:tc>
        <w:tc>
          <w:tcPr>
            <w:tcW w:w="886"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345" w:hRule="atLeast"/>
          <w:jc w:val="center"/>
        </w:trPr>
        <w:tc>
          <w:tcPr>
            <w:tcW w:w="1365" w:type="dxa"/>
            <w:vMerge w:val="continue"/>
            <w:vAlign w:val="center"/>
          </w:tcPr>
          <w:p>
            <w:pPr>
              <w:widowControl/>
              <w:snapToGrid/>
              <w:spacing w:line="240" w:lineRule="auto"/>
              <w:ind w:left="0" w:leftChars="0"/>
              <w:jc w:val="left"/>
              <w:textAlignment w:val="auto"/>
              <w:outlineLvl w:val="9"/>
              <w:rPr>
                <w:rFonts w:hint="eastAsia" w:ascii="华文仿宋" w:hAnsi="华文仿宋" w:eastAsia="华文仿宋" w:cs="华文仿宋"/>
                <w:bCs/>
                <w:color w:val="000000"/>
                <w:kern w:val="0"/>
                <w:sz w:val="24"/>
                <w:szCs w:val="24"/>
              </w:rPr>
            </w:pPr>
          </w:p>
        </w:tc>
        <w:tc>
          <w:tcPr>
            <w:tcW w:w="3122"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bCs/>
                <w:color w:val="000000"/>
                <w:kern w:val="0"/>
                <w:sz w:val="24"/>
                <w:szCs w:val="24"/>
              </w:rPr>
            </w:pPr>
            <w:r>
              <w:rPr>
                <w:rFonts w:hint="eastAsia" w:ascii="华文仿宋" w:hAnsi="华文仿宋" w:eastAsia="华文仿宋" w:cs="华文仿宋"/>
                <w:bCs/>
                <w:color w:val="000000"/>
                <w:kern w:val="0"/>
                <w:sz w:val="24"/>
                <w:szCs w:val="24"/>
              </w:rPr>
              <w:t>合计</w:t>
            </w:r>
          </w:p>
        </w:tc>
        <w:tc>
          <w:tcPr>
            <w:tcW w:w="885"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7200</w:t>
            </w:r>
          </w:p>
        </w:tc>
        <w:tc>
          <w:tcPr>
            <w:tcW w:w="885"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7200</w:t>
            </w:r>
          </w:p>
        </w:tc>
        <w:tc>
          <w:tcPr>
            <w:tcW w:w="885"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7200</w:t>
            </w:r>
          </w:p>
        </w:tc>
        <w:tc>
          <w:tcPr>
            <w:tcW w:w="885"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7200</w:t>
            </w:r>
          </w:p>
        </w:tc>
        <w:tc>
          <w:tcPr>
            <w:tcW w:w="886" w:type="dxa"/>
            <w:vAlign w:val="center"/>
          </w:tcPr>
          <w:p>
            <w:pPr>
              <w:widowControl/>
              <w:snapToGrid/>
              <w:spacing w:line="240" w:lineRule="auto"/>
              <w:ind w:left="0" w:leftChars="0"/>
              <w:jc w:val="center"/>
              <w:textAlignment w:val="auto"/>
              <w:outlineLvl w:val="9"/>
              <w:rPr>
                <w:rFonts w:hint="eastAsia" w:ascii="华文仿宋" w:hAnsi="华文仿宋" w:eastAsia="华文仿宋" w:cs="华文仿宋"/>
                <w:color w:val="000000"/>
                <w:kern w:val="0"/>
                <w:sz w:val="24"/>
                <w:szCs w:val="24"/>
              </w:rPr>
            </w:pPr>
            <w:r>
              <w:rPr>
                <w:rFonts w:hint="eastAsia" w:ascii="华文仿宋" w:hAnsi="华文仿宋" w:eastAsia="华文仿宋" w:cs="华文仿宋"/>
                <w:color w:val="000000"/>
                <w:kern w:val="0"/>
                <w:sz w:val="24"/>
                <w:szCs w:val="24"/>
              </w:rPr>
              <w:t>7200</w:t>
            </w:r>
          </w:p>
        </w:tc>
      </w:tr>
    </w:tbl>
    <w:p>
      <w:pPr>
        <w:widowControl/>
        <w:snapToGrid/>
        <w:spacing w:afterLines="20" w:line="240" w:lineRule="auto"/>
        <w:ind w:left="0" w:leftChars="0" w:firstLine="472" w:firstLineChars="200"/>
        <w:textAlignment w:val="auto"/>
        <w:outlineLvl w:val="9"/>
        <w:rPr>
          <w:rFonts w:hint="eastAsia" w:ascii="华文仿宋" w:hAnsi="华文仿宋" w:eastAsia="华文仿宋" w:cs="华文仿宋"/>
          <w:kern w:val="0"/>
          <w:sz w:val="24"/>
          <w:szCs w:val="24"/>
        </w:rPr>
      </w:pPr>
      <w:r>
        <w:rPr>
          <w:rFonts w:hint="eastAsia" w:ascii="华文仿宋" w:hAnsi="华文仿宋" w:eastAsia="华文仿宋" w:cs="华文仿宋"/>
          <w:kern w:val="0"/>
          <w:sz w:val="24"/>
          <w:szCs w:val="24"/>
        </w:rPr>
        <w:t>注：表2—3为学校资助研究生助学金总金额的测算和拨款依据。在此基础上各培养单位、科研单位、培养基地、导师团队或导师，可以根据学科特点和自身情况、研究生学习及参与科研情况等提高资助标准，并制定具体的实施细则。导师资助经费也可以由培养单位发展基金或导师团队支付，或以助教、助研（助医）等方式支付。</w:t>
      </w:r>
    </w:p>
    <w:p>
      <w:pPr>
        <w:widowControl/>
        <w:snapToGrid/>
        <w:spacing w:line="240" w:lineRule="auto"/>
        <w:ind w:left="0" w:leftChars="0" w:firstLine="612" w:firstLineChars="200"/>
        <w:textAlignment w:val="auto"/>
        <w:outlineLvl w:val="9"/>
        <w:rPr>
          <w:rFonts w:hint="eastAsia" w:ascii="华文仿宋" w:hAnsi="华文仿宋" w:eastAsia="华文仿宋" w:cs="华文仿宋"/>
          <w:kern w:val="0"/>
          <w:sz w:val="30"/>
          <w:szCs w:val="30"/>
        </w:rPr>
      </w:pPr>
      <w:r>
        <w:rPr>
          <w:rFonts w:hint="eastAsia" w:ascii="黑体" w:hAnsi="黑体" w:eastAsia="黑体" w:cs="黑体"/>
          <w:kern w:val="0"/>
          <w:sz w:val="30"/>
          <w:szCs w:val="30"/>
        </w:rPr>
        <w:t xml:space="preserve">第七条  </w:t>
      </w:r>
      <w:r>
        <w:rPr>
          <w:rFonts w:hint="eastAsia" w:ascii="华文仿宋" w:hAnsi="华文仿宋" w:eastAsia="华文仿宋" w:cs="华文仿宋"/>
          <w:kern w:val="0"/>
          <w:sz w:val="30"/>
          <w:szCs w:val="30"/>
        </w:rPr>
        <w:t>单项优秀研究生奖学金 设立单项优秀研究生奖学金，奖励在学校各类“创先评优”和创新实践活动中表现优异的研究生。主要包括：郑州大学“十佳”研究生奖、研究生“优秀科研奖”、优秀毕业研究生奖、研究生“学术论坛”最佳奖，以及为学校赢得重大荣誉的特别贡献奖等。</w:t>
      </w:r>
    </w:p>
    <w:p>
      <w:pPr>
        <w:snapToGrid/>
        <w:spacing w:line="240" w:lineRule="auto"/>
        <w:ind w:left="0" w:leftChars="0" w:firstLine="612" w:firstLineChars="200"/>
        <w:textAlignment w:val="auto"/>
        <w:outlineLvl w:val="9"/>
        <w:rPr>
          <w:rFonts w:hint="eastAsia" w:ascii="华文仿宋" w:hAnsi="华文仿宋" w:eastAsia="华文仿宋" w:cs="华文仿宋"/>
          <w:sz w:val="30"/>
          <w:szCs w:val="30"/>
        </w:rPr>
      </w:pPr>
      <w:r>
        <w:rPr>
          <w:rFonts w:hint="eastAsia" w:ascii="黑体" w:hAnsi="黑体" w:eastAsia="黑体" w:cs="黑体"/>
          <w:sz w:val="30"/>
          <w:szCs w:val="30"/>
        </w:rPr>
        <w:t xml:space="preserve">第八条 </w:t>
      </w:r>
      <w:r>
        <w:rPr>
          <w:rFonts w:hint="eastAsia" w:ascii="华文仿宋" w:hAnsi="华文仿宋" w:eastAsia="华文仿宋" w:cs="华文仿宋"/>
          <w:sz w:val="30"/>
          <w:szCs w:val="30"/>
        </w:rPr>
        <w:t xml:space="preserve"> 研究生“三助”  “三助”包括助教、助研（助医）和助管。从2014年开始，按照国家有关规定，从研究生学费中足额提取4—6%的经费设立研究生“三助”专项资金，主要用于各类单项优秀研究生奖学金、研究生自主创新项目、研究生创新实践活动、研究生“三助”岗位中助管津贴、勤工助学补助、家庭经济特困补助以及其它研究生奖助工作。</w:t>
      </w:r>
    </w:p>
    <w:p>
      <w:pPr>
        <w:widowControl/>
        <w:snapToGrid/>
        <w:spacing w:line="240" w:lineRule="auto"/>
        <w:ind w:left="0" w:leftChars="0" w:firstLine="612" w:firstLineChars="200"/>
        <w:textAlignment w:val="auto"/>
        <w:outlineLvl w:val="9"/>
        <w:rPr>
          <w:rFonts w:hint="eastAsia" w:ascii="华文仿宋" w:hAnsi="华文仿宋" w:eastAsia="华文仿宋" w:cs="华文仿宋"/>
          <w:kern w:val="0"/>
          <w:sz w:val="30"/>
          <w:szCs w:val="30"/>
        </w:rPr>
      </w:pPr>
      <w:r>
        <w:rPr>
          <w:rFonts w:hint="eastAsia" w:ascii="华文仿宋" w:hAnsi="华文仿宋" w:eastAsia="华文仿宋" w:cs="华文仿宋"/>
          <w:kern w:val="0"/>
          <w:sz w:val="30"/>
          <w:szCs w:val="30"/>
        </w:rPr>
        <w:t>助研（助医）：研究生助研津贴主要通过导师科研项目经费中的劳务费列支；助医工作由各附属医院设岗，资助标准由各附属医院核定并支付。各研究生培养单位和研究生导师根据学科特点和自身情况、研究生学习及参与科研或临床实践情况，进一步健全导师责任制和导师项目资助制，充分调动研究生参与科学研究和社会实践的积极性。</w:t>
      </w:r>
    </w:p>
    <w:p>
      <w:pPr>
        <w:widowControl/>
        <w:snapToGrid/>
        <w:spacing w:line="240" w:lineRule="auto"/>
        <w:ind w:left="0" w:leftChars="0" w:firstLine="612" w:firstLineChars="200"/>
        <w:textAlignment w:val="auto"/>
        <w:outlineLvl w:val="9"/>
        <w:rPr>
          <w:rFonts w:hint="eastAsia" w:ascii="华文仿宋" w:hAnsi="华文仿宋" w:eastAsia="华文仿宋" w:cs="华文仿宋"/>
          <w:kern w:val="0"/>
          <w:sz w:val="30"/>
          <w:szCs w:val="30"/>
        </w:rPr>
      </w:pPr>
      <w:r>
        <w:rPr>
          <w:rFonts w:hint="eastAsia" w:ascii="华文仿宋" w:hAnsi="华文仿宋" w:eastAsia="华文仿宋" w:cs="华文仿宋"/>
          <w:kern w:val="0"/>
          <w:sz w:val="30"/>
          <w:szCs w:val="30"/>
        </w:rPr>
        <w:t>助教：研究生助教工作由教务处和院（系）按照国家相关规定根据实际需要设立助教岗位，协助授课教师完成本科课程教学和实验等辅助性的相关任务。资助标准和费用由设岗单位核定并发放。</w:t>
      </w:r>
    </w:p>
    <w:p>
      <w:pPr>
        <w:snapToGrid/>
        <w:spacing w:line="240" w:lineRule="auto"/>
        <w:ind w:left="0" w:leftChars="0" w:firstLine="612" w:firstLineChars="200"/>
        <w:textAlignment w:val="auto"/>
        <w:outlineLvl w:val="9"/>
        <w:rPr>
          <w:rFonts w:hint="eastAsia" w:ascii="华文仿宋" w:hAnsi="华文仿宋" w:eastAsia="华文仿宋" w:cs="华文仿宋"/>
          <w:sz w:val="30"/>
          <w:szCs w:val="30"/>
        </w:rPr>
      </w:pPr>
      <w:r>
        <w:rPr>
          <w:rFonts w:hint="eastAsia" w:ascii="华文仿宋" w:hAnsi="华文仿宋" w:eastAsia="华文仿宋" w:cs="华文仿宋"/>
          <w:sz w:val="30"/>
          <w:szCs w:val="30"/>
        </w:rPr>
        <w:t>助管：原则上在研究生管理部门和研究生培养单位设立助管岗位，协助做好研究生的日常教育管理服务等工作。资助标准为每月500元，每年发放10个月，由学校及各设岗单位共同支付。勤工助学临时工作按时计酬，具体额度按当年学校统一标准执行。</w:t>
      </w:r>
    </w:p>
    <w:p>
      <w:pPr>
        <w:snapToGrid/>
        <w:spacing w:line="240" w:lineRule="auto"/>
        <w:ind w:left="0" w:leftChars="0" w:firstLine="612" w:firstLineChars="200"/>
        <w:textAlignment w:val="auto"/>
        <w:outlineLvl w:val="9"/>
        <w:rPr>
          <w:rFonts w:hint="eastAsia" w:ascii="华文仿宋" w:hAnsi="华文仿宋" w:eastAsia="华文仿宋" w:cs="华文仿宋"/>
          <w:sz w:val="30"/>
          <w:szCs w:val="30"/>
        </w:rPr>
      </w:pPr>
      <w:r>
        <w:rPr>
          <w:rFonts w:hint="eastAsia" w:ascii="华文仿宋" w:hAnsi="华文仿宋" w:eastAsia="华文仿宋" w:cs="华文仿宋"/>
          <w:sz w:val="30"/>
          <w:szCs w:val="30"/>
        </w:rPr>
        <w:t>助学货款：落实研究生国家助学贷款政策，确保符合条件的研究生及时申请并获得国家助学贷款。</w:t>
      </w:r>
    </w:p>
    <w:p>
      <w:pPr>
        <w:snapToGrid/>
        <w:spacing w:line="240" w:lineRule="auto"/>
        <w:ind w:left="0" w:leftChars="0" w:firstLine="612" w:firstLineChars="200"/>
        <w:textAlignment w:val="auto"/>
        <w:outlineLvl w:val="9"/>
        <w:rPr>
          <w:rFonts w:hint="eastAsia" w:ascii="华文仿宋" w:hAnsi="华文仿宋" w:eastAsia="华文仿宋" w:cs="华文仿宋"/>
          <w:kern w:val="0"/>
          <w:sz w:val="30"/>
          <w:szCs w:val="30"/>
        </w:rPr>
      </w:pPr>
      <w:r>
        <w:rPr>
          <w:rFonts w:hint="eastAsia" w:ascii="华文仿宋" w:hAnsi="华文仿宋" w:eastAsia="华文仿宋" w:cs="华文仿宋"/>
          <w:sz w:val="30"/>
          <w:szCs w:val="30"/>
        </w:rPr>
        <w:t>特困生补助：对于家庭经济特别困难的研究生，按照学校有关规定，综合采取减免学费、发放特殊困难补助、开辟入学“绿色通道”等方式，加大资助力度，从研究生“三助”专项资金中支出。</w:t>
      </w:r>
    </w:p>
    <w:p>
      <w:pPr>
        <w:widowControl/>
        <w:snapToGrid/>
        <w:spacing w:line="240" w:lineRule="auto"/>
        <w:ind w:left="0" w:leftChars="0"/>
        <w:jc w:val="center"/>
        <w:textAlignment w:val="auto"/>
        <w:outlineLvl w:val="9"/>
        <w:rPr>
          <w:rFonts w:hint="eastAsia" w:ascii="黑体" w:hAnsi="黑体" w:eastAsia="黑体" w:cs="黑体"/>
          <w:kern w:val="0"/>
          <w:sz w:val="30"/>
          <w:szCs w:val="30"/>
        </w:rPr>
      </w:pPr>
      <w:r>
        <w:rPr>
          <w:rFonts w:hint="eastAsia" w:ascii="黑体" w:hAnsi="黑体" w:eastAsia="黑体" w:cs="黑体"/>
          <w:kern w:val="0"/>
          <w:sz w:val="30"/>
          <w:szCs w:val="30"/>
        </w:rPr>
        <w:t>第三章  研究生教育奖助项目设置</w:t>
      </w:r>
    </w:p>
    <w:p>
      <w:pPr>
        <w:snapToGrid/>
        <w:spacing w:line="240" w:lineRule="auto"/>
        <w:ind w:left="0" w:leftChars="0" w:firstLine="612" w:firstLineChars="200"/>
        <w:textAlignment w:val="auto"/>
        <w:outlineLvl w:val="9"/>
        <w:rPr>
          <w:rFonts w:hint="eastAsia" w:ascii="华文仿宋" w:hAnsi="华文仿宋" w:eastAsia="华文仿宋" w:cs="华文仿宋"/>
          <w:sz w:val="30"/>
          <w:szCs w:val="30"/>
        </w:rPr>
      </w:pPr>
      <w:r>
        <w:rPr>
          <w:rFonts w:hint="eastAsia" w:ascii="黑体" w:hAnsi="黑体" w:eastAsia="黑体" w:cs="黑体"/>
          <w:sz w:val="30"/>
          <w:szCs w:val="30"/>
        </w:rPr>
        <w:t xml:space="preserve">第九条 </w:t>
      </w:r>
      <w:r>
        <w:rPr>
          <w:rFonts w:hint="eastAsia" w:ascii="华文仿宋" w:hAnsi="华文仿宋" w:eastAsia="华文仿宋" w:cs="华文仿宋"/>
          <w:sz w:val="30"/>
          <w:szCs w:val="30"/>
        </w:rPr>
        <w:t xml:space="preserve"> 研究生教育创新计划 设立研究生教育创新基金，其中学校专项部分每年不低于100万元，用于“研究生教育创新计划”，即优秀博士学位论文培育计划、优秀学位论文表彰计划、研究生国内外访学计划、名师名家讲坛、博士生学术论坛、研究生学术奖励计划和研究生创先评优活动。</w:t>
      </w:r>
    </w:p>
    <w:p>
      <w:pPr>
        <w:snapToGrid/>
        <w:spacing w:line="240" w:lineRule="auto"/>
        <w:ind w:left="0" w:leftChars="0" w:firstLine="612" w:firstLineChars="200"/>
        <w:textAlignment w:val="auto"/>
        <w:outlineLvl w:val="9"/>
        <w:rPr>
          <w:rFonts w:hint="eastAsia" w:ascii="华文仿宋" w:hAnsi="华文仿宋" w:eastAsia="华文仿宋" w:cs="华文仿宋"/>
          <w:sz w:val="30"/>
          <w:szCs w:val="30"/>
        </w:rPr>
      </w:pPr>
      <w:r>
        <w:rPr>
          <w:rFonts w:hint="eastAsia" w:ascii="黑体" w:hAnsi="黑体" w:eastAsia="黑体" w:cs="黑体"/>
          <w:sz w:val="30"/>
          <w:szCs w:val="30"/>
        </w:rPr>
        <w:t xml:space="preserve">第十条  </w:t>
      </w:r>
      <w:r>
        <w:rPr>
          <w:rFonts w:hint="eastAsia" w:ascii="华文仿宋" w:hAnsi="华文仿宋" w:eastAsia="华文仿宋" w:cs="华文仿宋"/>
          <w:sz w:val="30"/>
          <w:szCs w:val="30"/>
        </w:rPr>
        <w:t>研究生自主创新项目 学校设立研究生自主创新项目，面向所有全日制（全脱产学习）研究生，实行研究生项目申请制。具备科研潜质、创新实践能力的研究生向学校申请研究生自主创新项目，并获得资助。</w:t>
      </w:r>
    </w:p>
    <w:p>
      <w:pPr>
        <w:widowControl/>
        <w:snapToGrid/>
        <w:spacing w:line="240" w:lineRule="auto"/>
        <w:ind w:left="0" w:leftChars="0" w:firstLine="612" w:firstLineChars="200"/>
        <w:textAlignment w:val="auto"/>
        <w:outlineLvl w:val="9"/>
        <w:rPr>
          <w:rFonts w:hint="eastAsia" w:ascii="华文仿宋" w:hAnsi="华文仿宋" w:eastAsia="华文仿宋" w:cs="华文仿宋"/>
          <w:kern w:val="0"/>
          <w:sz w:val="30"/>
          <w:szCs w:val="30"/>
        </w:rPr>
      </w:pPr>
      <w:r>
        <w:rPr>
          <w:rFonts w:hint="eastAsia" w:ascii="黑体" w:hAnsi="黑体" w:eastAsia="黑体" w:cs="黑体"/>
          <w:kern w:val="0"/>
          <w:sz w:val="30"/>
          <w:szCs w:val="30"/>
        </w:rPr>
        <w:t xml:space="preserve">第十一条  </w:t>
      </w:r>
      <w:r>
        <w:rPr>
          <w:rFonts w:hint="eastAsia" w:ascii="华文仿宋" w:hAnsi="华文仿宋" w:eastAsia="华文仿宋" w:cs="华文仿宋"/>
          <w:kern w:val="0"/>
          <w:sz w:val="30"/>
          <w:szCs w:val="30"/>
        </w:rPr>
        <w:t>研究生教育科研专项支持基金 根据培养研究生需要，人文社科及其他基础类学科的研究生导师，可以向学校申请研究生教育科研专项支持基金，用于指导研究生进行科学研究和招收研究生所需资助的经费。学校重点支持具有一定科研基础、科研经费暂时短缺的研究生导师。研究生教育科研专项支持基金由学校社科办负责管理。</w:t>
      </w:r>
    </w:p>
    <w:p>
      <w:pPr>
        <w:widowControl/>
        <w:snapToGrid/>
        <w:spacing w:line="240" w:lineRule="auto"/>
        <w:ind w:left="0" w:leftChars="0"/>
        <w:jc w:val="center"/>
        <w:textAlignment w:val="auto"/>
        <w:outlineLvl w:val="9"/>
        <w:rPr>
          <w:rFonts w:hint="eastAsia" w:ascii="黑体" w:hAnsi="黑体" w:eastAsia="黑体" w:cs="黑体"/>
          <w:kern w:val="0"/>
          <w:sz w:val="30"/>
          <w:szCs w:val="30"/>
        </w:rPr>
      </w:pPr>
      <w:r>
        <w:rPr>
          <w:rFonts w:hint="eastAsia" w:ascii="黑体" w:hAnsi="黑体" w:eastAsia="黑体" w:cs="黑体"/>
          <w:kern w:val="0"/>
          <w:sz w:val="30"/>
          <w:szCs w:val="30"/>
        </w:rPr>
        <w:t>第四章</w:t>
      </w:r>
      <w:r>
        <w:rPr>
          <w:rFonts w:hint="eastAsia" w:ascii="黑体" w:hAnsi="黑体" w:eastAsia="黑体" w:cs="黑体"/>
          <w:kern w:val="0"/>
          <w:sz w:val="30"/>
          <w:szCs w:val="30"/>
        </w:rPr>
        <w:tab/>
      </w:r>
      <w:r>
        <w:rPr>
          <w:rFonts w:hint="eastAsia" w:ascii="黑体" w:hAnsi="黑体" w:eastAsia="黑体" w:cs="黑体"/>
          <w:kern w:val="0"/>
          <w:sz w:val="30"/>
          <w:szCs w:val="30"/>
        </w:rPr>
        <w:t>研究生奖学金评审组织</w:t>
      </w:r>
    </w:p>
    <w:p>
      <w:pPr>
        <w:widowControl/>
        <w:snapToGrid/>
        <w:spacing w:line="240" w:lineRule="auto"/>
        <w:ind w:left="0" w:leftChars="0" w:firstLine="612" w:firstLineChars="200"/>
        <w:textAlignment w:val="auto"/>
        <w:outlineLvl w:val="9"/>
        <w:rPr>
          <w:rFonts w:hint="eastAsia" w:ascii="华文仿宋" w:hAnsi="华文仿宋" w:eastAsia="华文仿宋" w:cs="华文仿宋"/>
          <w:kern w:val="0"/>
          <w:sz w:val="30"/>
          <w:szCs w:val="30"/>
        </w:rPr>
      </w:pPr>
      <w:r>
        <w:rPr>
          <w:rFonts w:hint="eastAsia" w:ascii="黑体" w:hAnsi="黑体" w:eastAsia="黑体" w:cs="黑体"/>
          <w:kern w:val="0"/>
          <w:sz w:val="30"/>
          <w:szCs w:val="30"/>
        </w:rPr>
        <w:t xml:space="preserve">第十二条  </w:t>
      </w:r>
      <w:r>
        <w:rPr>
          <w:rFonts w:hint="eastAsia" w:ascii="华文仿宋" w:hAnsi="华文仿宋" w:eastAsia="华文仿宋" w:cs="华文仿宋"/>
          <w:kern w:val="0"/>
          <w:sz w:val="30"/>
          <w:szCs w:val="30"/>
        </w:rPr>
        <w:t>学校成立由主管研究生工作的校领导、研究生院和监察处负责人及师生代表组成的学校研究生奖学金评审工作领导小组。评审领导小组负责制定名额分配方案，统筹领导、协调和监督评审工作，并裁决有关申诉事项。研究生院、党委研工部研究生奖助贷管理科负责奖助学金日常管理和具体发放等相关工作。</w:t>
      </w:r>
    </w:p>
    <w:p>
      <w:pPr>
        <w:widowControl/>
        <w:snapToGrid/>
        <w:spacing w:line="240" w:lineRule="auto"/>
        <w:ind w:left="0" w:leftChars="0" w:firstLine="612" w:firstLineChars="200"/>
        <w:textAlignment w:val="auto"/>
        <w:outlineLvl w:val="9"/>
        <w:rPr>
          <w:rFonts w:hint="eastAsia" w:ascii="华文仿宋" w:hAnsi="华文仿宋" w:eastAsia="华文仿宋" w:cs="华文仿宋"/>
          <w:kern w:val="0"/>
          <w:sz w:val="30"/>
          <w:szCs w:val="30"/>
        </w:rPr>
      </w:pPr>
      <w:r>
        <w:rPr>
          <w:rFonts w:hint="eastAsia" w:ascii="黑体" w:hAnsi="黑体" w:eastAsia="黑体" w:cs="黑体"/>
          <w:kern w:val="0"/>
          <w:sz w:val="30"/>
          <w:szCs w:val="30"/>
        </w:rPr>
        <w:t xml:space="preserve">第十三条  </w:t>
      </w:r>
      <w:r>
        <w:rPr>
          <w:rFonts w:hint="eastAsia" w:ascii="华文仿宋" w:hAnsi="华文仿宋" w:eastAsia="华文仿宋" w:cs="华文仿宋"/>
          <w:kern w:val="0"/>
          <w:sz w:val="30"/>
          <w:szCs w:val="30"/>
        </w:rPr>
        <w:t>各研究生培养单位成立由党委（党总支）书记、院长（系主任）、主管研究生工作的副书记和副院长（副主任）、导师代表、研究生教育管理人员和研究生代表组成的研究生奖学金评审委员会，负责制定本单位研究生奖学金评审细则，负责本单位当年研究生奖学金的申请组织、初步评审等工作。院长（系主任）任评审委员会主任，党委（党总支）书记负责督察工作。</w:t>
      </w:r>
    </w:p>
    <w:p>
      <w:pPr>
        <w:widowControl/>
        <w:snapToGrid/>
        <w:spacing w:line="240" w:lineRule="auto"/>
        <w:ind w:left="0" w:leftChars="0"/>
        <w:jc w:val="center"/>
        <w:textAlignment w:val="auto"/>
        <w:outlineLvl w:val="9"/>
        <w:rPr>
          <w:rFonts w:hint="eastAsia" w:ascii="黑体" w:hAnsi="黑体" w:eastAsia="黑体" w:cs="黑体"/>
          <w:kern w:val="0"/>
          <w:sz w:val="30"/>
          <w:szCs w:val="30"/>
        </w:rPr>
      </w:pPr>
      <w:r>
        <w:rPr>
          <w:rFonts w:hint="eastAsia" w:ascii="黑体" w:hAnsi="黑体" w:eastAsia="黑体" w:cs="黑体"/>
          <w:kern w:val="0"/>
          <w:sz w:val="30"/>
          <w:szCs w:val="30"/>
        </w:rPr>
        <w:t>第五章</w:t>
      </w:r>
      <w:r>
        <w:rPr>
          <w:rFonts w:hint="eastAsia" w:ascii="黑体" w:hAnsi="黑体" w:eastAsia="黑体" w:cs="黑体"/>
          <w:kern w:val="0"/>
          <w:sz w:val="30"/>
          <w:szCs w:val="30"/>
          <w:lang w:val="en-US" w:eastAsia="zh-CN"/>
        </w:rPr>
        <w:t xml:space="preserve"> </w:t>
      </w:r>
      <w:r>
        <w:rPr>
          <w:rFonts w:hint="eastAsia" w:ascii="黑体" w:hAnsi="黑体" w:eastAsia="黑体" w:cs="黑体"/>
          <w:kern w:val="0"/>
          <w:sz w:val="30"/>
          <w:szCs w:val="30"/>
        </w:rPr>
        <w:tab/>
      </w:r>
      <w:r>
        <w:rPr>
          <w:rFonts w:hint="eastAsia" w:ascii="黑体" w:hAnsi="黑体" w:eastAsia="黑体" w:cs="黑体"/>
          <w:kern w:val="0"/>
          <w:sz w:val="30"/>
          <w:szCs w:val="30"/>
        </w:rPr>
        <w:t>研究生奖学金评审条件和程序</w:t>
      </w:r>
    </w:p>
    <w:p>
      <w:pPr>
        <w:snapToGrid/>
        <w:spacing w:line="240" w:lineRule="auto"/>
        <w:ind w:left="0" w:leftChars="0" w:firstLine="612" w:firstLineChars="200"/>
        <w:textAlignment w:val="auto"/>
        <w:outlineLvl w:val="9"/>
        <w:rPr>
          <w:rFonts w:hint="eastAsia" w:ascii="华文仿宋" w:hAnsi="华文仿宋" w:eastAsia="华文仿宋" w:cs="华文仿宋"/>
          <w:sz w:val="30"/>
          <w:szCs w:val="30"/>
        </w:rPr>
      </w:pPr>
      <w:r>
        <w:rPr>
          <w:rFonts w:hint="eastAsia" w:ascii="黑体" w:hAnsi="黑体" w:eastAsia="黑体" w:cs="黑体"/>
          <w:sz w:val="30"/>
          <w:szCs w:val="30"/>
        </w:rPr>
        <w:t xml:space="preserve">第十四条  </w:t>
      </w:r>
      <w:r>
        <w:rPr>
          <w:rFonts w:hint="eastAsia" w:ascii="华文仿宋" w:hAnsi="华文仿宋" w:eastAsia="华文仿宋" w:cs="华文仿宋"/>
          <w:sz w:val="30"/>
          <w:szCs w:val="30"/>
        </w:rPr>
        <w:t>纳入全国研究生招生计划的全日制（全脱产学习）研究生，取得正式学籍、完成注册后，可参评研究生奖学金。超出学制期限基本修业年限的研究生，原则上不再具备研究生奖学金参评资格。获得奖学金的研究生必须符合下列基本条件：</w:t>
      </w:r>
    </w:p>
    <w:p>
      <w:pPr>
        <w:snapToGrid/>
        <w:spacing w:line="240" w:lineRule="auto"/>
        <w:ind w:left="0" w:leftChars="0" w:firstLine="612" w:firstLineChars="200"/>
        <w:textAlignment w:val="auto"/>
        <w:outlineLvl w:val="9"/>
        <w:rPr>
          <w:rFonts w:hint="eastAsia" w:ascii="华文仿宋" w:hAnsi="华文仿宋" w:eastAsia="华文仿宋" w:cs="华文仿宋"/>
          <w:sz w:val="30"/>
          <w:szCs w:val="30"/>
        </w:rPr>
      </w:pPr>
      <w:r>
        <w:rPr>
          <w:rFonts w:hint="eastAsia" w:ascii="华文仿宋" w:hAnsi="华文仿宋" w:eastAsia="华文仿宋" w:cs="华文仿宋"/>
          <w:sz w:val="30"/>
          <w:szCs w:val="30"/>
        </w:rPr>
        <w:t>（一）热爱社会主义祖国，拥护中国共产党的领导；遵守宪法和法律法规，遵守学校规章制度；诚实守信，道德品质优良。</w:t>
      </w:r>
    </w:p>
    <w:p>
      <w:pPr>
        <w:snapToGrid/>
        <w:spacing w:line="240" w:lineRule="auto"/>
        <w:ind w:left="0" w:leftChars="0" w:firstLine="612" w:firstLineChars="200"/>
        <w:textAlignment w:val="auto"/>
        <w:outlineLvl w:val="9"/>
        <w:rPr>
          <w:rFonts w:hint="eastAsia" w:ascii="华文仿宋" w:hAnsi="华文仿宋" w:eastAsia="华文仿宋" w:cs="华文仿宋"/>
          <w:sz w:val="30"/>
          <w:szCs w:val="30"/>
        </w:rPr>
      </w:pPr>
      <w:r>
        <w:rPr>
          <w:rFonts w:hint="eastAsia" w:ascii="华文仿宋" w:hAnsi="华文仿宋" w:eastAsia="华文仿宋" w:cs="华文仿宋"/>
          <w:sz w:val="30"/>
          <w:szCs w:val="30"/>
        </w:rPr>
        <w:t>（二）学习成绩优异，各科考试必须符合研究生课程要求，无补考、重修。</w:t>
      </w:r>
    </w:p>
    <w:p>
      <w:pPr>
        <w:snapToGrid/>
        <w:spacing w:line="240" w:lineRule="auto"/>
        <w:ind w:left="0" w:leftChars="0" w:firstLine="612" w:firstLineChars="200"/>
        <w:textAlignment w:val="auto"/>
        <w:outlineLvl w:val="9"/>
        <w:rPr>
          <w:rFonts w:hint="eastAsia" w:ascii="华文仿宋" w:hAnsi="华文仿宋" w:eastAsia="华文仿宋" w:cs="华文仿宋"/>
          <w:sz w:val="30"/>
          <w:szCs w:val="30"/>
        </w:rPr>
      </w:pPr>
      <w:r>
        <w:rPr>
          <w:rFonts w:hint="eastAsia" w:ascii="华文仿宋" w:hAnsi="华文仿宋" w:eastAsia="华文仿宋" w:cs="华文仿宋"/>
          <w:sz w:val="30"/>
          <w:szCs w:val="30"/>
        </w:rPr>
        <w:t>（三）科研能力显著，发展潜力突出。注重自身创新意识、创新精神、创新能力的培养，潜心学习与科研，并具有较高水平的科研成果或实践成果。</w:t>
      </w:r>
    </w:p>
    <w:p>
      <w:pPr>
        <w:widowControl/>
        <w:snapToGrid/>
        <w:spacing w:line="240" w:lineRule="auto"/>
        <w:ind w:left="0" w:leftChars="0" w:firstLine="612" w:firstLineChars="200"/>
        <w:textAlignment w:val="auto"/>
        <w:outlineLvl w:val="9"/>
        <w:rPr>
          <w:rFonts w:hint="eastAsia" w:ascii="华文仿宋" w:hAnsi="华文仿宋" w:eastAsia="华文仿宋" w:cs="华文仿宋"/>
          <w:kern w:val="0"/>
          <w:sz w:val="30"/>
          <w:szCs w:val="30"/>
        </w:rPr>
      </w:pPr>
      <w:r>
        <w:rPr>
          <w:rFonts w:hint="eastAsia" w:ascii="华文仿宋" w:hAnsi="华文仿宋" w:eastAsia="华文仿宋" w:cs="华文仿宋"/>
          <w:kern w:val="0"/>
          <w:sz w:val="30"/>
          <w:szCs w:val="30"/>
        </w:rPr>
        <w:t>（四）具有集体主义意识、积极向上的团队精神，积极参加学校和院（系）以及年级（班级、专业）组织的各项集体活动，获得各类荣誉奖项。</w:t>
      </w:r>
    </w:p>
    <w:p>
      <w:pPr>
        <w:widowControl/>
        <w:snapToGrid/>
        <w:spacing w:line="240" w:lineRule="auto"/>
        <w:ind w:left="0" w:leftChars="0" w:firstLine="612" w:firstLineChars="200"/>
        <w:textAlignment w:val="auto"/>
        <w:outlineLvl w:val="9"/>
        <w:rPr>
          <w:rFonts w:hint="eastAsia" w:ascii="华文仿宋" w:hAnsi="华文仿宋" w:eastAsia="华文仿宋" w:cs="华文仿宋"/>
          <w:kern w:val="0"/>
          <w:sz w:val="30"/>
          <w:szCs w:val="30"/>
        </w:rPr>
      </w:pPr>
      <w:r>
        <w:rPr>
          <w:rFonts w:hint="eastAsia" w:ascii="黑体" w:hAnsi="黑体" w:eastAsia="黑体" w:cs="黑体"/>
          <w:kern w:val="0"/>
          <w:sz w:val="30"/>
          <w:szCs w:val="30"/>
        </w:rPr>
        <w:t xml:space="preserve">第十五条  </w:t>
      </w:r>
      <w:r>
        <w:rPr>
          <w:rFonts w:hint="eastAsia" w:ascii="华文仿宋" w:hAnsi="华文仿宋" w:eastAsia="华文仿宋" w:cs="华文仿宋"/>
          <w:kern w:val="0"/>
          <w:sz w:val="30"/>
          <w:szCs w:val="30"/>
        </w:rPr>
        <w:t>各研究生培养单位依据以上基本要求，以研究生的道德品质和学习成绩为基本条件，科学合理地制定研究生奖学金评审指标体系。对学术型研究生，评审标准应偏重考察其科研创新能力和体现创新能力的科研成果；对专业学位研究生，评审标准应偏重考察其专业实践能力和适应专业岗位的综合素质。各研究生培养单位的评审细则确定后，需向本单位全体研究生公示不少于3个工作日后启动评审工作，并报学校研究生国家奖学金评审工作领导小组备案。</w:t>
      </w:r>
    </w:p>
    <w:p>
      <w:pPr>
        <w:widowControl/>
        <w:snapToGrid/>
        <w:spacing w:line="240" w:lineRule="auto"/>
        <w:ind w:left="0" w:leftChars="0" w:firstLine="612" w:firstLineChars="200"/>
        <w:textAlignment w:val="auto"/>
        <w:outlineLvl w:val="9"/>
        <w:rPr>
          <w:rFonts w:hint="eastAsia" w:ascii="华文仿宋" w:hAnsi="华文仿宋" w:eastAsia="华文仿宋" w:cs="华文仿宋"/>
          <w:kern w:val="0"/>
          <w:sz w:val="30"/>
          <w:szCs w:val="30"/>
        </w:rPr>
      </w:pPr>
      <w:r>
        <w:rPr>
          <w:rFonts w:hint="eastAsia" w:ascii="黑体" w:hAnsi="黑体" w:eastAsia="黑体" w:cs="黑体"/>
          <w:kern w:val="0"/>
          <w:sz w:val="30"/>
          <w:szCs w:val="30"/>
        </w:rPr>
        <w:t xml:space="preserve">第十六条  </w:t>
      </w:r>
      <w:r>
        <w:rPr>
          <w:rFonts w:hint="eastAsia" w:ascii="华文仿宋" w:hAnsi="华文仿宋" w:eastAsia="华文仿宋" w:cs="华文仿宋"/>
          <w:kern w:val="0"/>
          <w:sz w:val="30"/>
          <w:szCs w:val="30"/>
        </w:rPr>
        <w:t>经培养单位研究生奖学金评审委员会审核，确定初选名单后，需在本单位范围内公示5个工作日，设立投诉电话、电子邮箱以及办公接待地点。在此公示期间，有异议者由本单位评审委员会及时研究并予以答复，公示无异议后上报研究生院。学校研究生奖学金评审工作领导小组根据各单位申报情况进行审定，并在全校范围内公示5个工作日。公示有异议的，可向学校研究生国家奖学金评审工作领导小组申请裁决，公示无异议后上报河南省学生资助管理中心。</w:t>
      </w:r>
    </w:p>
    <w:p>
      <w:pPr>
        <w:widowControl/>
        <w:snapToGrid/>
        <w:spacing w:line="240" w:lineRule="auto"/>
        <w:ind w:left="0" w:leftChars="0" w:firstLine="612" w:firstLineChars="200"/>
        <w:textAlignment w:val="auto"/>
        <w:outlineLvl w:val="9"/>
        <w:rPr>
          <w:rFonts w:hint="eastAsia" w:ascii="华文仿宋" w:hAnsi="华文仿宋" w:eastAsia="华文仿宋" w:cs="华文仿宋"/>
          <w:kern w:val="0"/>
          <w:sz w:val="30"/>
          <w:szCs w:val="30"/>
        </w:rPr>
      </w:pPr>
      <w:r>
        <w:rPr>
          <w:rFonts w:hint="eastAsia" w:ascii="黑体" w:hAnsi="黑体" w:eastAsia="黑体" w:cs="黑体"/>
          <w:kern w:val="0"/>
          <w:sz w:val="30"/>
          <w:szCs w:val="30"/>
        </w:rPr>
        <w:t xml:space="preserve">第十七条 </w:t>
      </w:r>
      <w:r>
        <w:rPr>
          <w:rFonts w:hint="eastAsia" w:ascii="华文仿宋" w:hAnsi="华文仿宋" w:eastAsia="华文仿宋" w:cs="华文仿宋"/>
          <w:kern w:val="0"/>
          <w:sz w:val="30"/>
          <w:szCs w:val="30"/>
        </w:rPr>
        <w:t xml:space="preserve"> 研究生奖学金的评审工作，应严格执行有关规定，杜绝弄虚作假。若研究生本人有弄虚作假行为，取消其奖学金评审资格，并根据情节轻重给予相应处分；若研究生培养单位弄虚作假，学校将对该培养单位和相关责任人予以相应处理并通报全校。</w:t>
      </w:r>
    </w:p>
    <w:p>
      <w:pPr>
        <w:widowControl/>
        <w:snapToGrid/>
        <w:spacing w:line="240" w:lineRule="auto"/>
        <w:ind w:left="0" w:leftChars="0"/>
        <w:jc w:val="center"/>
        <w:textAlignment w:val="auto"/>
        <w:outlineLvl w:val="9"/>
        <w:rPr>
          <w:rFonts w:hint="eastAsia" w:ascii="黑体" w:hAnsi="黑体" w:eastAsia="黑体" w:cs="黑体"/>
          <w:kern w:val="0"/>
          <w:sz w:val="30"/>
          <w:szCs w:val="30"/>
        </w:rPr>
      </w:pPr>
      <w:r>
        <w:rPr>
          <w:rFonts w:hint="eastAsia" w:ascii="黑体" w:hAnsi="黑体" w:eastAsia="黑体" w:cs="黑体"/>
          <w:kern w:val="0"/>
          <w:sz w:val="30"/>
          <w:szCs w:val="30"/>
        </w:rPr>
        <w:t>第六章  研究生奖助学金发放程序</w:t>
      </w:r>
    </w:p>
    <w:p>
      <w:pPr>
        <w:widowControl/>
        <w:snapToGrid/>
        <w:spacing w:line="240" w:lineRule="auto"/>
        <w:ind w:left="0" w:leftChars="0" w:firstLine="612" w:firstLineChars="200"/>
        <w:textAlignment w:val="auto"/>
        <w:outlineLvl w:val="9"/>
        <w:rPr>
          <w:rFonts w:hint="eastAsia" w:ascii="华文仿宋" w:hAnsi="华文仿宋" w:eastAsia="华文仿宋" w:cs="华文仿宋"/>
          <w:kern w:val="0"/>
          <w:sz w:val="30"/>
          <w:szCs w:val="30"/>
        </w:rPr>
      </w:pPr>
      <w:r>
        <w:rPr>
          <w:rFonts w:hint="eastAsia" w:ascii="黑体" w:hAnsi="黑体" w:eastAsia="黑体" w:cs="黑体"/>
          <w:kern w:val="0"/>
          <w:sz w:val="30"/>
          <w:szCs w:val="30"/>
        </w:rPr>
        <w:t>第十八条</w:t>
      </w:r>
      <w:r>
        <w:rPr>
          <w:rFonts w:hint="eastAsia" w:ascii="华文仿宋" w:hAnsi="华文仿宋" w:eastAsia="华文仿宋" w:cs="华文仿宋"/>
          <w:kern w:val="0"/>
          <w:sz w:val="30"/>
          <w:szCs w:val="30"/>
        </w:rPr>
        <w:t xml:space="preserve">  为了体现导师资助制，助学金的拨款与发放办法如下：</w:t>
      </w:r>
    </w:p>
    <w:p>
      <w:pPr>
        <w:widowControl/>
        <w:snapToGrid/>
        <w:spacing w:line="240" w:lineRule="auto"/>
        <w:ind w:left="0" w:leftChars="0" w:firstLine="612" w:firstLineChars="200"/>
        <w:textAlignment w:val="auto"/>
        <w:outlineLvl w:val="9"/>
        <w:rPr>
          <w:rFonts w:hint="eastAsia" w:ascii="华文仿宋" w:hAnsi="华文仿宋" w:eastAsia="华文仿宋" w:cs="华文仿宋"/>
          <w:kern w:val="0"/>
          <w:sz w:val="30"/>
          <w:szCs w:val="30"/>
        </w:rPr>
      </w:pPr>
      <w:r>
        <w:rPr>
          <w:rFonts w:hint="eastAsia" w:ascii="华文仿宋" w:hAnsi="华文仿宋" w:eastAsia="华文仿宋" w:cs="华文仿宋"/>
          <w:kern w:val="0"/>
          <w:sz w:val="30"/>
          <w:szCs w:val="30"/>
        </w:rPr>
        <w:t>（一）由财务处设立研究生“导师资助经费”专项账户，用于集中管理各培养单位导师招收研究生所需支付“导师资助经费”。</w:t>
      </w:r>
    </w:p>
    <w:p>
      <w:pPr>
        <w:widowControl/>
        <w:snapToGrid/>
        <w:spacing w:line="240" w:lineRule="auto"/>
        <w:ind w:left="0" w:leftChars="0" w:firstLine="612" w:firstLineChars="200"/>
        <w:textAlignment w:val="auto"/>
        <w:outlineLvl w:val="9"/>
        <w:rPr>
          <w:rFonts w:hint="eastAsia" w:ascii="华文仿宋" w:hAnsi="华文仿宋" w:eastAsia="华文仿宋" w:cs="华文仿宋"/>
          <w:kern w:val="0"/>
          <w:sz w:val="30"/>
          <w:szCs w:val="30"/>
        </w:rPr>
      </w:pPr>
      <w:r>
        <w:rPr>
          <w:rFonts w:hint="eastAsia" w:ascii="华文仿宋" w:hAnsi="华文仿宋" w:eastAsia="华文仿宋" w:cs="华文仿宋"/>
          <w:kern w:val="0"/>
          <w:sz w:val="30"/>
          <w:szCs w:val="30"/>
        </w:rPr>
        <w:t>（二）导师在确定新生拟录取名单两周内，将需支付的“导师资助经费”划拨到本单位帐户，导师可选择按学年分别支付或一次性全部支付。各培养单位将导师资助经费统一转入学校财务处“导师资助经费”专项账户，并将记帐凭单报研究生院审核备案。研究生院负责与财务处对接，将导师资助经费划入学生个人银行账户。</w:t>
      </w:r>
    </w:p>
    <w:p>
      <w:pPr>
        <w:snapToGrid/>
        <w:spacing w:line="240" w:lineRule="auto"/>
        <w:ind w:left="0" w:leftChars="0" w:firstLine="612" w:firstLineChars="200"/>
        <w:textAlignment w:val="auto"/>
        <w:outlineLvl w:val="9"/>
        <w:rPr>
          <w:rFonts w:hint="eastAsia" w:ascii="华文仿宋" w:hAnsi="华文仿宋" w:eastAsia="华文仿宋" w:cs="华文仿宋"/>
          <w:sz w:val="30"/>
          <w:szCs w:val="30"/>
        </w:rPr>
      </w:pPr>
      <w:r>
        <w:rPr>
          <w:rFonts w:hint="eastAsia" w:ascii="黑体" w:hAnsi="黑体" w:eastAsia="黑体" w:cs="黑体"/>
          <w:sz w:val="30"/>
          <w:szCs w:val="30"/>
        </w:rPr>
        <w:t xml:space="preserve">第十九条 </w:t>
      </w:r>
      <w:r>
        <w:rPr>
          <w:rFonts w:hint="eastAsia" w:ascii="华文仿宋" w:hAnsi="华文仿宋" w:eastAsia="华文仿宋" w:cs="华文仿宋"/>
          <w:sz w:val="30"/>
          <w:szCs w:val="30"/>
        </w:rPr>
        <w:t xml:space="preserve"> 对于公派出国、休学、转学、退学等学籍异动的学生，奖助学金评审发放按以下办法执行：</w:t>
      </w:r>
    </w:p>
    <w:p>
      <w:pPr>
        <w:snapToGrid/>
        <w:spacing w:line="240" w:lineRule="auto"/>
        <w:ind w:left="0" w:leftChars="0" w:firstLine="612" w:firstLineChars="200"/>
        <w:textAlignment w:val="auto"/>
        <w:outlineLvl w:val="9"/>
        <w:rPr>
          <w:rFonts w:hint="eastAsia" w:ascii="华文仿宋" w:hAnsi="华文仿宋" w:eastAsia="华文仿宋" w:cs="华文仿宋"/>
          <w:sz w:val="30"/>
          <w:szCs w:val="30"/>
        </w:rPr>
      </w:pPr>
      <w:r>
        <w:rPr>
          <w:rFonts w:hint="eastAsia" w:ascii="华文仿宋" w:hAnsi="华文仿宋" w:eastAsia="华文仿宋" w:cs="华文仿宋"/>
          <w:sz w:val="30"/>
          <w:szCs w:val="30"/>
        </w:rPr>
        <w:t>（一）在学制期限基本修业年限内，因国家和单位公派出国留学或校际交流在境外学习的研究生，仍具备研究生奖学金参评资格；助学金从出国当月停发，回国后当月恢复。学籍暂时保留校内、攻读国外高校学位的研究生，从出国当月起不再参与校内各类奖学金的评定。</w:t>
      </w:r>
    </w:p>
    <w:p>
      <w:pPr>
        <w:snapToGrid/>
        <w:spacing w:line="240" w:lineRule="auto"/>
        <w:ind w:left="0" w:leftChars="0" w:firstLine="612" w:firstLineChars="200"/>
        <w:textAlignment w:val="auto"/>
        <w:outlineLvl w:val="9"/>
        <w:rPr>
          <w:rFonts w:hint="eastAsia" w:ascii="华文仿宋" w:hAnsi="华文仿宋" w:eastAsia="华文仿宋" w:cs="华文仿宋"/>
          <w:sz w:val="30"/>
          <w:szCs w:val="30"/>
        </w:rPr>
      </w:pPr>
      <w:r>
        <w:rPr>
          <w:rFonts w:hint="eastAsia" w:ascii="华文仿宋" w:hAnsi="华文仿宋" w:eastAsia="华文仿宋" w:cs="华文仿宋"/>
          <w:sz w:val="30"/>
          <w:szCs w:val="30"/>
        </w:rPr>
        <w:t>（二）由于因私出国留学、疾病、创业等原因未在校学习的研究生，期间内原则上不具备研究生奖学金参评资格。办理休学的研究生，助学金从休学当月停发，复学后当月恢复；转学（转入）研究生从办理手续当月起发放助学金；转学（转出）、退学的研究生从办理手续当月起停发助学金。</w:t>
      </w:r>
    </w:p>
    <w:p>
      <w:pPr>
        <w:widowControl/>
        <w:snapToGrid/>
        <w:spacing w:line="240" w:lineRule="auto"/>
        <w:ind w:left="0" w:leftChars="0" w:firstLine="612" w:firstLineChars="200"/>
        <w:textAlignment w:val="auto"/>
        <w:outlineLvl w:val="9"/>
        <w:rPr>
          <w:rFonts w:hint="eastAsia" w:ascii="华文仿宋" w:hAnsi="华文仿宋" w:eastAsia="华文仿宋" w:cs="华文仿宋"/>
          <w:kern w:val="0"/>
          <w:sz w:val="30"/>
          <w:szCs w:val="30"/>
        </w:rPr>
      </w:pPr>
      <w:r>
        <w:rPr>
          <w:rFonts w:hint="eastAsia" w:ascii="黑体" w:hAnsi="黑体" w:eastAsia="黑体" w:cs="黑体"/>
          <w:kern w:val="0"/>
          <w:sz w:val="30"/>
          <w:szCs w:val="30"/>
        </w:rPr>
        <w:t xml:space="preserve">第二十条  </w:t>
      </w:r>
      <w:r>
        <w:rPr>
          <w:rFonts w:hint="eastAsia" w:ascii="华文仿宋" w:hAnsi="华文仿宋" w:eastAsia="华文仿宋" w:cs="华文仿宋"/>
          <w:kern w:val="0"/>
          <w:sz w:val="30"/>
          <w:szCs w:val="30"/>
        </w:rPr>
        <w:t>招生简章中注明不授予中间学位的硕博连读学生，根据当年所修课程的层次阶段确定身份参与研究生奖学金的评定。在选修硕士课程阶段按照硕士研究生身份参与评定；进入选修博士研究生课程阶段按照博士研究生身份参与评定。硕博连读研究生如中途主动放弃硕博连读资格或未通过中期考核，须退还其已享受的奖学金的差额。</w:t>
      </w:r>
    </w:p>
    <w:p>
      <w:pPr>
        <w:widowControl/>
        <w:snapToGrid/>
        <w:spacing w:line="240" w:lineRule="auto"/>
        <w:ind w:left="0" w:leftChars="0" w:firstLine="612" w:firstLineChars="200"/>
        <w:textAlignment w:val="auto"/>
        <w:outlineLvl w:val="9"/>
        <w:rPr>
          <w:rFonts w:hint="eastAsia" w:ascii="华文仿宋" w:hAnsi="华文仿宋" w:eastAsia="华文仿宋" w:cs="华文仿宋"/>
          <w:kern w:val="0"/>
          <w:sz w:val="30"/>
          <w:szCs w:val="30"/>
        </w:rPr>
      </w:pPr>
      <w:r>
        <w:rPr>
          <w:rFonts w:hint="eastAsia" w:ascii="黑体" w:hAnsi="黑体" w:eastAsia="黑体" w:cs="黑体"/>
          <w:kern w:val="0"/>
          <w:sz w:val="30"/>
          <w:szCs w:val="30"/>
        </w:rPr>
        <w:t xml:space="preserve">第二十一条 </w:t>
      </w:r>
      <w:r>
        <w:rPr>
          <w:rFonts w:hint="eastAsia" w:ascii="华文仿宋" w:hAnsi="华文仿宋" w:eastAsia="华文仿宋" w:cs="华文仿宋"/>
          <w:kern w:val="0"/>
          <w:sz w:val="30"/>
          <w:szCs w:val="30"/>
        </w:rPr>
        <w:t xml:space="preserve"> 导师必须按时划拨研究生资助经费。因自身原因未及时划拨学生资助经费的导师，学校将视情况予以通报，停发其指导研究生助学金中导师资助部分，并在下一年度减少所在单位的招生数量。</w:t>
      </w:r>
    </w:p>
    <w:p>
      <w:pPr>
        <w:widowControl/>
        <w:snapToGrid/>
        <w:spacing w:line="240" w:lineRule="auto"/>
        <w:ind w:left="0" w:leftChars="0" w:firstLine="612" w:firstLineChars="200"/>
        <w:textAlignment w:val="auto"/>
        <w:outlineLvl w:val="9"/>
        <w:rPr>
          <w:rFonts w:hint="eastAsia" w:ascii="华文仿宋" w:hAnsi="华文仿宋" w:eastAsia="华文仿宋" w:cs="华文仿宋"/>
          <w:kern w:val="0"/>
          <w:sz w:val="30"/>
          <w:szCs w:val="30"/>
        </w:rPr>
      </w:pPr>
      <w:r>
        <w:rPr>
          <w:rFonts w:hint="eastAsia" w:ascii="黑体" w:hAnsi="黑体" w:eastAsia="黑体" w:cs="黑体"/>
          <w:kern w:val="0"/>
          <w:sz w:val="30"/>
          <w:szCs w:val="30"/>
        </w:rPr>
        <w:t xml:space="preserve">第二十二条 </w:t>
      </w:r>
      <w:r>
        <w:rPr>
          <w:rFonts w:hint="eastAsia" w:ascii="华文仿宋" w:hAnsi="华文仿宋" w:eastAsia="华文仿宋" w:cs="华文仿宋"/>
          <w:kern w:val="0"/>
          <w:sz w:val="30"/>
          <w:szCs w:val="30"/>
        </w:rPr>
        <w:t xml:space="preserve"> 助学金的资助年限按照各培养单位确定的学制年限资助，博士研究生的资助年限按实际在校年限计算，最长不超过4年，提前攻读博士和硕博连读研究生的资助年限不超过6年。</w:t>
      </w:r>
    </w:p>
    <w:p>
      <w:pPr>
        <w:widowControl/>
        <w:snapToGrid/>
        <w:spacing w:line="240" w:lineRule="auto"/>
        <w:ind w:left="0" w:leftChars="0" w:firstLine="612" w:firstLineChars="200"/>
        <w:textAlignment w:val="auto"/>
        <w:outlineLvl w:val="9"/>
        <w:rPr>
          <w:rFonts w:hint="eastAsia" w:ascii="华文仿宋" w:hAnsi="华文仿宋" w:eastAsia="华文仿宋" w:cs="华文仿宋"/>
          <w:kern w:val="0"/>
          <w:sz w:val="30"/>
          <w:szCs w:val="30"/>
        </w:rPr>
      </w:pPr>
      <w:r>
        <w:rPr>
          <w:rFonts w:hint="eastAsia" w:ascii="黑体" w:hAnsi="黑体" w:eastAsia="黑体" w:cs="黑体"/>
          <w:kern w:val="0"/>
          <w:sz w:val="30"/>
          <w:szCs w:val="30"/>
        </w:rPr>
        <w:t>第二十三条</w:t>
      </w:r>
      <w:r>
        <w:rPr>
          <w:rFonts w:hint="eastAsia" w:ascii="华文仿宋" w:hAnsi="华文仿宋" w:eastAsia="华文仿宋" w:cs="华文仿宋"/>
          <w:kern w:val="0"/>
          <w:sz w:val="30"/>
          <w:szCs w:val="30"/>
        </w:rPr>
        <w:t xml:space="preserve">  参评学年研究生出现以下任一情况，不具备当年奖学金参评资格：</w:t>
      </w:r>
    </w:p>
    <w:p>
      <w:pPr>
        <w:widowControl/>
        <w:snapToGrid/>
        <w:spacing w:line="240" w:lineRule="auto"/>
        <w:ind w:left="0" w:leftChars="0" w:firstLine="612" w:firstLineChars="200"/>
        <w:textAlignment w:val="auto"/>
        <w:outlineLvl w:val="9"/>
        <w:rPr>
          <w:rFonts w:hint="eastAsia" w:ascii="华文仿宋" w:hAnsi="华文仿宋" w:eastAsia="华文仿宋" w:cs="华文仿宋"/>
          <w:kern w:val="0"/>
          <w:sz w:val="30"/>
          <w:szCs w:val="30"/>
        </w:rPr>
      </w:pPr>
      <w:r>
        <w:rPr>
          <w:rFonts w:hint="eastAsia" w:ascii="华文仿宋" w:hAnsi="华文仿宋" w:eastAsia="华文仿宋" w:cs="华文仿宋"/>
          <w:kern w:val="0"/>
          <w:sz w:val="30"/>
          <w:szCs w:val="30"/>
        </w:rPr>
        <w:t>（一）违反国家法律、校纪校规，受到校级通报批评以上处分者；</w:t>
      </w:r>
    </w:p>
    <w:p>
      <w:pPr>
        <w:widowControl/>
        <w:snapToGrid/>
        <w:spacing w:line="240" w:lineRule="auto"/>
        <w:ind w:left="0" w:leftChars="0" w:firstLine="612" w:firstLineChars="200"/>
        <w:textAlignment w:val="auto"/>
        <w:outlineLvl w:val="9"/>
        <w:rPr>
          <w:rFonts w:hint="eastAsia" w:ascii="华文仿宋" w:hAnsi="华文仿宋" w:eastAsia="华文仿宋" w:cs="华文仿宋"/>
          <w:kern w:val="0"/>
          <w:sz w:val="30"/>
          <w:szCs w:val="30"/>
        </w:rPr>
      </w:pPr>
      <w:r>
        <w:rPr>
          <w:rFonts w:hint="eastAsia" w:ascii="华文仿宋" w:hAnsi="华文仿宋" w:eastAsia="华文仿宋" w:cs="华文仿宋"/>
          <w:kern w:val="0"/>
          <w:sz w:val="30"/>
          <w:szCs w:val="30"/>
        </w:rPr>
        <w:t>（二）有抄袭剽窃、弄虚作假等学术不端行为经查证属实的；</w:t>
      </w:r>
    </w:p>
    <w:p>
      <w:pPr>
        <w:widowControl/>
        <w:snapToGrid/>
        <w:spacing w:line="240" w:lineRule="auto"/>
        <w:ind w:left="0" w:leftChars="0" w:firstLine="612" w:firstLineChars="200"/>
        <w:textAlignment w:val="auto"/>
        <w:outlineLvl w:val="9"/>
        <w:rPr>
          <w:rFonts w:hint="eastAsia" w:ascii="华文仿宋" w:hAnsi="华文仿宋" w:eastAsia="华文仿宋" w:cs="华文仿宋"/>
          <w:kern w:val="0"/>
          <w:sz w:val="30"/>
          <w:szCs w:val="30"/>
        </w:rPr>
      </w:pPr>
      <w:r>
        <w:rPr>
          <w:rFonts w:hint="eastAsia" w:ascii="华文仿宋" w:hAnsi="华文仿宋" w:eastAsia="华文仿宋" w:cs="华文仿宋"/>
          <w:kern w:val="0"/>
          <w:sz w:val="30"/>
          <w:szCs w:val="30"/>
        </w:rPr>
        <w:t>（三）学籍状态处于休学、保留学籍者；</w:t>
      </w:r>
    </w:p>
    <w:p>
      <w:pPr>
        <w:widowControl/>
        <w:snapToGrid/>
        <w:spacing w:line="240" w:lineRule="auto"/>
        <w:ind w:left="0" w:leftChars="0" w:firstLine="612" w:firstLineChars="200"/>
        <w:textAlignment w:val="auto"/>
        <w:outlineLvl w:val="9"/>
        <w:rPr>
          <w:rFonts w:hint="eastAsia" w:ascii="华文仿宋" w:hAnsi="华文仿宋" w:eastAsia="华文仿宋" w:cs="华文仿宋"/>
          <w:kern w:val="0"/>
          <w:sz w:val="30"/>
          <w:szCs w:val="30"/>
        </w:rPr>
      </w:pPr>
      <w:r>
        <w:rPr>
          <w:rFonts w:hint="eastAsia" w:ascii="华文仿宋" w:hAnsi="华文仿宋" w:eastAsia="华文仿宋" w:cs="华文仿宋"/>
          <w:kern w:val="0"/>
          <w:sz w:val="30"/>
          <w:szCs w:val="30"/>
        </w:rPr>
        <w:t>（四）学业课程考试或考查成绩有不合格者、补考者、重修者；</w:t>
      </w:r>
    </w:p>
    <w:p>
      <w:pPr>
        <w:widowControl/>
        <w:snapToGrid/>
        <w:spacing w:line="240" w:lineRule="auto"/>
        <w:ind w:left="0" w:leftChars="0" w:firstLine="612" w:firstLineChars="200"/>
        <w:textAlignment w:val="auto"/>
        <w:outlineLvl w:val="9"/>
        <w:rPr>
          <w:rFonts w:hint="eastAsia" w:ascii="华文仿宋" w:hAnsi="华文仿宋" w:eastAsia="华文仿宋" w:cs="华文仿宋"/>
          <w:kern w:val="0"/>
          <w:sz w:val="30"/>
          <w:szCs w:val="30"/>
        </w:rPr>
      </w:pPr>
      <w:r>
        <w:rPr>
          <w:rFonts w:hint="eastAsia" w:ascii="华文仿宋" w:hAnsi="华文仿宋" w:eastAsia="华文仿宋" w:cs="华文仿宋"/>
          <w:kern w:val="0"/>
          <w:sz w:val="30"/>
          <w:szCs w:val="30"/>
        </w:rPr>
        <w:t>（五）科研工作中造成重大事故或损失者；</w:t>
      </w:r>
    </w:p>
    <w:p>
      <w:pPr>
        <w:widowControl/>
        <w:snapToGrid/>
        <w:spacing w:line="240" w:lineRule="auto"/>
        <w:ind w:left="0" w:leftChars="0" w:firstLine="612" w:firstLineChars="200"/>
        <w:textAlignment w:val="auto"/>
        <w:outlineLvl w:val="9"/>
        <w:rPr>
          <w:rFonts w:hint="eastAsia" w:ascii="华文仿宋" w:hAnsi="华文仿宋" w:eastAsia="华文仿宋" w:cs="华文仿宋"/>
          <w:kern w:val="0"/>
          <w:sz w:val="30"/>
          <w:szCs w:val="30"/>
        </w:rPr>
      </w:pPr>
      <w:r>
        <w:rPr>
          <w:rFonts w:hint="eastAsia" w:ascii="华文仿宋" w:hAnsi="华文仿宋" w:eastAsia="华文仿宋" w:cs="华文仿宋"/>
          <w:kern w:val="0"/>
          <w:sz w:val="30"/>
          <w:szCs w:val="30"/>
        </w:rPr>
        <w:t>（六）中期考核未通过者；</w:t>
      </w:r>
    </w:p>
    <w:p>
      <w:pPr>
        <w:widowControl/>
        <w:snapToGrid/>
        <w:spacing w:line="240" w:lineRule="auto"/>
        <w:ind w:left="0" w:leftChars="0" w:firstLine="612" w:firstLineChars="200"/>
        <w:textAlignment w:val="auto"/>
        <w:outlineLvl w:val="9"/>
        <w:rPr>
          <w:rFonts w:hint="eastAsia" w:ascii="华文仿宋" w:hAnsi="华文仿宋" w:eastAsia="华文仿宋" w:cs="华文仿宋"/>
          <w:kern w:val="0"/>
          <w:sz w:val="30"/>
          <w:szCs w:val="30"/>
        </w:rPr>
      </w:pPr>
      <w:r>
        <w:rPr>
          <w:rFonts w:hint="eastAsia" w:ascii="华文仿宋" w:hAnsi="华文仿宋" w:eastAsia="华文仿宋" w:cs="华文仿宋"/>
          <w:kern w:val="0"/>
          <w:sz w:val="30"/>
          <w:szCs w:val="30"/>
        </w:rPr>
        <w:t>（七）经导师考核认为没有按照要求完成相应科研工作的。</w:t>
      </w:r>
    </w:p>
    <w:p>
      <w:pPr>
        <w:widowControl/>
        <w:snapToGrid/>
        <w:spacing w:line="240" w:lineRule="auto"/>
        <w:ind w:left="0" w:leftChars="0"/>
        <w:jc w:val="center"/>
        <w:textAlignment w:val="auto"/>
        <w:outlineLvl w:val="9"/>
        <w:rPr>
          <w:rFonts w:hint="eastAsia" w:ascii="华文仿宋" w:hAnsi="华文仿宋" w:eastAsia="华文仿宋" w:cs="华文仿宋"/>
          <w:kern w:val="0"/>
          <w:sz w:val="30"/>
          <w:szCs w:val="30"/>
        </w:rPr>
      </w:pPr>
      <w:r>
        <w:rPr>
          <w:rFonts w:hint="eastAsia" w:ascii="华文仿宋" w:hAnsi="华文仿宋" w:eastAsia="华文仿宋" w:cs="华文仿宋"/>
          <w:kern w:val="0"/>
          <w:sz w:val="30"/>
          <w:szCs w:val="30"/>
        </w:rPr>
        <w:t>第七章  附 则</w:t>
      </w:r>
    </w:p>
    <w:p>
      <w:pPr>
        <w:widowControl/>
        <w:snapToGrid/>
        <w:spacing w:line="240" w:lineRule="auto"/>
        <w:ind w:left="0" w:leftChars="0" w:firstLine="612" w:firstLineChars="200"/>
        <w:textAlignment w:val="auto"/>
        <w:outlineLvl w:val="9"/>
        <w:rPr>
          <w:rFonts w:hint="eastAsia" w:ascii="华文仿宋" w:hAnsi="华文仿宋" w:eastAsia="华文仿宋" w:cs="华文仿宋"/>
          <w:kern w:val="0"/>
          <w:sz w:val="30"/>
          <w:szCs w:val="30"/>
        </w:rPr>
      </w:pPr>
      <w:r>
        <w:rPr>
          <w:rFonts w:hint="eastAsia" w:ascii="黑体" w:hAnsi="黑体" w:eastAsia="黑体" w:cs="黑体"/>
          <w:kern w:val="0"/>
          <w:sz w:val="30"/>
          <w:szCs w:val="30"/>
        </w:rPr>
        <w:t xml:space="preserve">第二十四条  </w:t>
      </w:r>
      <w:r>
        <w:rPr>
          <w:rFonts w:hint="eastAsia" w:ascii="华文仿宋" w:hAnsi="华文仿宋" w:eastAsia="华文仿宋" w:cs="华文仿宋"/>
          <w:kern w:val="0"/>
          <w:sz w:val="30"/>
          <w:szCs w:val="30"/>
        </w:rPr>
        <w:t>本方案从2014级研究生开始实施，适用于郑州大学在读的全日制研究生。老生老办法，新生新办法。其他有关文件与本方案不一致的，以本方案为准。</w:t>
      </w:r>
    </w:p>
    <w:p>
      <w:pPr>
        <w:widowControl/>
        <w:snapToGrid/>
        <w:spacing w:line="240" w:lineRule="auto"/>
        <w:ind w:left="0" w:leftChars="0" w:firstLine="612" w:firstLineChars="200"/>
        <w:textAlignment w:val="auto"/>
        <w:outlineLvl w:val="9"/>
        <w:rPr>
          <w:rFonts w:hint="eastAsia" w:ascii="华文仿宋" w:hAnsi="华文仿宋" w:eastAsia="华文仿宋" w:cs="华文仿宋"/>
          <w:kern w:val="0"/>
          <w:sz w:val="30"/>
          <w:szCs w:val="30"/>
        </w:rPr>
      </w:pPr>
      <w:r>
        <w:rPr>
          <w:rFonts w:hint="eastAsia" w:ascii="黑体" w:hAnsi="黑体" w:eastAsia="黑体" w:cs="黑体"/>
          <w:kern w:val="0"/>
          <w:sz w:val="30"/>
          <w:szCs w:val="30"/>
        </w:rPr>
        <w:t xml:space="preserve">第二十五条 </w:t>
      </w:r>
      <w:r>
        <w:rPr>
          <w:rFonts w:hint="eastAsia" w:ascii="华文仿宋" w:hAnsi="华文仿宋" w:eastAsia="华文仿宋" w:cs="华文仿宋"/>
          <w:kern w:val="0"/>
          <w:sz w:val="30"/>
          <w:szCs w:val="30"/>
        </w:rPr>
        <w:t xml:space="preserve"> 本方案由研究生院负责解释。</w:t>
      </w:r>
    </w:p>
    <w:p>
      <w:pPr>
        <w:widowControl/>
        <w:snapToGrid/>
        <w:spacing w:line="240" w:lineRule="auto"/>
        <w:ind w:left="0" w:leftChars="0" w:firstLine="612" w:firstLineChars="200"/>
        <w:textAlignment w:val="auto"/>
        <w:outlineLvl w:val="9"/>
        <w:rPr>
          <w:rFonts w:hint="eastAsia"/>
          <w:color w:val="000000"/>
        </w:rPr>
      </w:pPr>
      <w:r>
        <w:rPr>
          <w:rFonts w:hint="eastAsia" w:ascii="华文仿宋" w:hAnsi="华文仿宋" w:eastAsia="华文仿宋" w:cs="华文仿宋"/>
          <w:bCs/>
          <w:sz w:val="28"/>
          <w:szCs w:val="28"/>
        </w:rPr>
        <w:t xml:space="preserve"> </w:t>
      </w:r>
      <w:r>
        <w:rPr>
          <w:rFonts w:hint="eastAsia" w:ascii="仿宋_GB2312" w:hAnsi="宋体"/>
          <w:bCs/>
          <w:szCs w:val="32"/>
        </w:rPr>
        <w:t xml:space="preserve">  </w:t>
      </w:r>
    </w:p>
    <w:tbl>
      <w:tblPr>
        <w:tblpPr w:leftFromText="181" w:rightFromText="181" w:vertAnchor="page" w:horzAnchor="page" w:tblpX="1622" w:tblpY="11497"/>
        <w:tblOverlap w:val="never"/>
        <w:tblW w:w="887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058"/>
        <w:gridCol w:w="48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blHeader/>
        </w:trPr>
        <w:tc>
          <w:tcPr>
            <w:tcW w:w="4058" w:type="dxa"/>
            <w:tcBorders>
              <w:top w:val="single" w:color="auto" w:sz="8" w:space="0"/>
              <w:bottom w:val="single" w:color="auto" w:sz="8" w:space="0"/>
            </w:tcBorders>
            <w:vAlign w:val="top"/>
          </w:tcPr>
          <w:p>
            <w:pPr>
              <w:snapToGrid/>
              <w:spacing w:line="240" w:lineRule="auto"/>
              <w:ind w:left="0" w:leftChars="0" w:firstLine="276" w:firstLineChars="100"/>
              <w:textAlignment w:val="auto"/>
              <w:outlineLvl w:val="9"/>
              <w:rPr>
                <w:rFonts w:ascii="Times New Roman" w:hAnsi="Times New Roman" w:eastAsia="方正仿宋简体" w:cs="Times New Roman"/>
                <w:kern w:val="0"/>
                <w:sz w:val="28"/>
                <w:szCs w:val="28"/>
              </w:rPr>
            </w:pPr>
            <w:r>
              <w:rPr>
                <w:rFonts w:ascii="Times New Roman" w:hAnsi="Times New Roman" w:eastAsia="方正仿宋简体" w:cs="Times New Roman"/>
                <w:kern w:val="0"/>
                <w:sz w:val="28"/>
                <w:szCs w:val="28"/>
              </w:rPr>
              <w:t>郑州大学校长办公室</w:t>
            </w:r>
          </w:p>
        </w:tc>
        <w:tc>
          <w:tcPr>
            <w:tcW w:w="4813" w:type="dxa"/>
            <w:tcBorders>
              <w:top w:val="single" w:color="auto" w:sz="8" w:space="0"/>
              <w:bottom w:val="single" w:color="auto" w:sz="8" w:space="0"/>
            </w:tcBorders>
            <w:vAlign w:val="top"/>
          </w:tcPr>
          <w:p>
            <w:pPr>
              <w:wordWrap w:val="0"/>
              <w:snapToGrid/>
              <w:spacing w:line="240" w:lineRule="auto"/>
              <w:ind w:left="0" w:leftChars="0"/>
              <w:jc w:val="right"/>
              <w:textAlignment w:val="auto"/>
              <w:outlineLvl w:val="9"/>
              <w:rPr>
                <w:rFonts w:ascii="Times New Roman" w:hAnsi="Times New Roman" w:eastAsia="方正仿宋简体" w:cs="Times New Roman"/>
                <w:kern w:val="0"/>
                <w:sz w:val="28"/>
                <w:szCs w:val="28"/>
              </w:rPr>
            </w:pPr>
            <w:r>
              <w:rPr>
                <w:rFonts w:ascii="Times New Roman" w:hAnsi="Times New Roman" w:eastAsia="方正仿宋简体" w:cs="Times New Roman"/>
                <w:kern w:val="0"/>
                <w:sz w:val="28"/>
                <w:szCs w:val="28"/>
              </w:rPr>
              <w:t>2014年7月</w:t>
            </w:r>
            <w:r>
              <w:rPr>
                <w:rFonts w:hint="eastAsia" w:ascii="Times New Roman" w:hAnsi="Times New Roman" w:eastAsia="方正仿宋简体" w:cs="Times New Roman"/>
                <w:kern w:val="0"/>
                <w:sz w:val="28"/>
                <w:szCs w:val="28"/>
              </w:rPr>
              <w:t>31</w:t>
            </w:r>
            <w:r>
              <w:rPr>
                <w:rFonts w:ascii="Times New Roman" w:hAnsi="Times New Roman" w:eastAsia="方正仿宋简体" w:cs="Times New Roman"/>
                <w:kern w:val="0"/>
                <w:sz w:val="28"/>
                <w:szCs w:val="28"/>
              </w:rPr>
              <w:t xml:space="preserve">日印发  </w:t>
            </w:r>
          </w:p>
        </w:tc>
      </w:tr>
    </w:tbl>
    <w:p>
      <w:pPr>
        <w:tabs>
          <w:tab w:val="left" w:pos="8280"/>
        </w:tabs>
        <w:adjustRightInd w:val="0"/>
        <w:snapToGrid/>
        <w:spacing w:line="240" w:lineRule="auto"/>
        <w:ind w:left="0" w:leftChars="0" w:right="632"/>
        <w:textAlignment w:val="auto"/>
        <w:outlineLvl w:val="9"/>
        <w:rPr>
          <w:rFonts w:hint="eastAsia"/>
        </w:rPr>
      </w:pPr>
      <w:r>
        <w:rPr>
          <w:rFonts w:hint="eastAsia" w:ascii="Times New Roman" w:hAnsi="Times New Roman" w:eastAsia="仿宋_GB2312" w:cs="Times New Roman"/>
          <w:color w:val="000000"/>
          <w:kern w:val="2"/>
          <w:sz w:val="32"/>
          <w:szCs w:val="24"/>
          <w:lang w:val="en-US" w:eastAsia="zh-CN" w:bidi="ar-SA"/>
        </w:rPr>
        <w:pict>
          <v:shape id="图片 2" o:spid="_x0000_s1026" type="#_x0000_t75" style="position:absolute;left:0;margin-left:297.85pt;margin-top:339.85pt;height:37.5pt;width:141pt;rotation:0f;z-index:251658240;" o:ole="f" fillcolor="#FFFFFF" filled="f" o:preferrelative="t" stroked="f" coordorigin="0,0" coordsize="21600,21600">
            <v:fill on="f" color2="#FFFFFF" focus="0%"/>
            <v:imagedata gain="65536f" blacklevel="0f" gamma="0" o:title="" r:id="rId8"/>
            <o:lock v:ext="edit" position="f" selection="f" grouping="f" rotation="f" cropping="f" text="f" aspectratio="t"/>
          </v:shape>
        </w:pict>
      </w:r>
    </w:p>
    <w:sectPr>
      <w:headerReference r:id="rId4" w:type="default"/>
      <w:footerReference r:id="rId5" w:type="default"/>
      <w:footerReference r:id="rId6" w:type="even"/>
      <w:pgSz w:w="11906" w:h="16838"/>
      <w:pgMar w:top="2098" w:right="1474" w:bottom="1985" w:left="1588" w:header="851" w:footer="1418" w:gutter="0"/>
      <w:pgNumType w:fmt="numberInDash" w:start="1"/>
      <w:cols w:space="72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仿宋_GB2312">
    <w:altName w:val="仿宋"/>
    <w:panose1 w:val="00000000000000000000"/>
    <w:charset w:val="86"/>
    <w:family w:val="auto"/>
    <w:pitch w:val="default"/>
    <w:sig w:usb0="00000000" w:usb1="080E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altName w:val="Arial Unicode MS"/>
    <w:panose1 w:val="00000000000000000000"/>
    <w:charset w:val="86"/>
    <w:family w:val="auto"/>
    <w:pitch w:val="default"/>
    <w:sig w:usb0="00000000" w:usb1="080E0000" w:usb2="00000010" w:usb3="00000000" w:csb0="00040000" w:csb1="00000000"/>
  </w:font>
  <w:font w:name="方正仿宋简体">
    <w:altName w:val="Arial Unicode MS"/>
    <w:panose1 w:val="00000000000000000000"/>
    <w:charset w:val="86"/>
    <w:family w:val="auto"/>
    <w:pitch w:val="default"/>
    <w:sig w:usb0="00000000" w:usb1="080E0000" w:usb2="00000010" w:usb3="00000000" w:csb0="00040000" w:csb1="00000000"/>
  </w:font>
  <w:font w:name="楷体_GB2312">
    <w:altName w:val="楷体"/>
    <w:panose1 w:val="00000000000000000000"/>
    <w:charset w:val="86"/>
    <w:family w:val="auto"/>
    <w:pitch w:val="default"/>
    <w:sig w:usb0="00000000" w:usb1="080E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framePr w:w="1053" w:wrap="around" w:hAnchor="page" w:vAnchor="text" w:x="9329" w:y="-2"/>
      <w:rPr>
        <w:rStyle w:val="5"/>
        <w:rFonts w:hint="eastAsia" w:ascii="宋体" w:hAnsi="宋体" w:eastAsia="宋体"/>
        <w:sz w:val="28"/>
        <w:szCs w:val="28"/>
      </w:rPr>
    </w:pPr>
    <w:r>
      <w:rPr>
        <w:rStyle w:val="5"/>
        <w:rFonts w:ascii="宋体" w:hAnsi="宋体" w:eastAsia="宋体"/>
        <w:sz w:val="28"/>
        <w:szCs w:val="28"/>
      </w:rPr>
      <w:fldChar w:fldCharType="begin"/>
    </w:r>
    <w:r>
      <w:rPr>
        <w:rStyle w:val="5"/>
        <w:rFonts w:ascii="宋体" w:hAnsi="宋体" w:eastAsia="宋体"/>
        <w:sz w:val="28"/>
        <w:szCs w:val="28"/>
      </w:rPr>
      <w:instrText xml:space="preserve">PAGE  </w:instrText>
    </w:r>
    <w:r>
      <w:rPr>
        <w:rStyle w:val="5"/>
        <w:rFonts w:ascii="宋体" w:hAnsi="宋体" w:eastAsia="宋体"/>
        <w:sz w:val="28"/>
        <w:szCs w:val="28"/>
      </w:rPr>
      <w:fldChar w:fldCharType="separate"/>
    </w:r>
    <w:r>
      <w:rPr>
        <w:rStyle w:val="5"/>
        <w:rFonts w:ascii="宋体" w:hAnsi="宋体" w:eastAsia="宋体"/>
        <w:sz w:val="28"/>
        <w:szCs w:val="28"/>
      </w:rPr>
      <w:t>- 1 -</w:t>
    </w:r>
    <w:r>
      <w:rPr>
        <w:rStyle w:val="5"/>
        <w:rFonts w:ascii="宋体" w:hAnsi="宋体" w:eastAsia="宋体"/>
        <w:sz w:val="28"/>
        <w:szCs w:val="28"/>
      </w:rPr>
      <w:fldChar w:fldCharType="end"/>
    </w:r>
    <w:r>
      <w:rPr>
        <w:rStyle w:val="5"/>
        <w:rFonts w:hint="eastAsia" w:ascii="宋体" w:hAnsi="宋体" w:eastAsia="宋体"/>
        <w:sz w:val="28"/>
        <w:szCs w:val="28"/>
      </w:rPr>
      <w:t xml:space="preserve">  </w:t>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framePr w:w="1439" w:wrap="around" w:hAnchor="margin" w:vAnchor="text" w:xAlign="outside" w:y="4"/>
      <w:ind w:firstLine="280" w:firstLineChars="100"/>
      <w:rPr>
        <w:rStyle w:val="5"/>
        <w:rFonts w:ascii="宋体" w:hAnsi="宋体" w:eastAsia="宋体"/>
        <w:sz w:val="28"/>
        <w:szCs w:val="28"/>
      </w:rPr>
    </w:pPr>
    <w:r>
      <w:rPr>
        <w:rStyle w:val="5"/>
        <w:rFonts w:ascii="宋体" w:hAnsi="宋体" w:eastAsia="宋体"/>
        <w:sz w:val="28"/>
        <w:szCs w:val="28"/>
      </w:rPr>
      <w:fldChar w:fldCharType="begin"/>
    </w:r>
    <w:r>
      <w:rPr>
        <w:rStyle w:val="5"/>
        <w:rFonts w:ascii="宋体" w:hAnsi="宋体" w:eastAsia="宋体"/>
        <w:sz w:val="28"/>
        <w:szCs w:val="28"/>
      </w:rPr>
      <w:instrText xml:space="preserve">PAGE  </w:instrText>
    </w:r>
    <w:r>
      <w:rPr>
        <w:rStyle w:val="5"/>
        <w:rFonts w:ascii="宋体" w:hAnsi="宋体" w:eastAsia="宋体"/>
        <w:sz w:val="28"/>
        <w:szCs w:val="28"/>
      </w:rPr>
      <w:fldChar w:fldCharType="separate"/>
    </w:r>
    <w:r>
      <w:rPr>
        <w:rStyle w:val="5"/>
        <w:rFonts w:ascii="宋体" w:hAnsi="宋体" w:eastAsia="宋体"/>
        <w:sz w:val="28"/>
        <w:szCs w:val="28"/>
      </w:rPr>
      <w:t>- 1 -</w:t>
    </w:r>
    <w:r>
      <w:rPr>
        <w:rStyle w:val="5"/>
        <w:rFonts w:ascii="宋体" w:hAnsi="宋体" w:eastAsia="宋体"/>
        <w:sz w:val="28"/>
        <w:szCs w:val="28"/>
      </w:rPr>
      <w:fldChar w:fldCharType="end"/>
    </w:r>
  </w:p>
  <w:p>
    <w:pPr>
      <w:pStyle w:val="2"/>
      <w:ind w:right="360" w:firstLine="360"/>
      <w:rPr>
        <w:rFonts w:hint="eastAsia"/>
        <w:sz w:val="28"/>
      </w:rPr>
    </w:pPr>
    <w:r>
      <w:rPr>
        <w:rFonts w:hint="eastAsia"/>
        <w:sz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iPriority="0" w:name="Balloon Text"/>
  </w:latentStyles>
  <w:style w:type="paragraph" w:default="1" w:styleId="1">
    <w:name w:val="Normal"/>
    <w:qFormat/>
    <w:uiPriority w:val="0"/>
    <w:pPr>
      <w:widowControl w:val="0"/>
      <w:spacing w:line="240" w:lineRule="auto"/>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semiHidden/>
    <w:unhideWhenUsed/>
    <w:uiPriority w:val="1"/>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styleId="5">
    <w:name w:val="page number"/>
    <w:basedOn w:val="4"/>
    <w:uiPriority w:val="0"/>
    <w:rPr/>
  </w:style>
  <w:style w:type="paragraph" w:customStyle="1" w:styleId="6">
    <w:name w:val="p0"/>
    <w:basedOn w:val="1"/>
    <w:uiPriority w:val="0"/>
    <w:pPr>
      <w:widowControl/>
    </w:pPr>
    <w:rPr>
      <w:rFonts w:eastAsia="宋体"/>
      <w:kern w:val="0"/>
      <w:sz w:val="21"/>
      <w:szCs w:val="21"/>
    </w:rPr>
  </w:style>
  <w:style w:type="character" w:customStyle="1" w:styleId="7">
    <w:name w:val="页眉 Char"/>
    <w:basedOn w:val="4"/>
    <w:link w:val="3"/>
    <w:uiPriority w:val="0"/>
    <w:rPr>
      <w:rFonts w:ascii="Times New Roman" w:hAnsi="Times New Roman" w:eastAsia="仿宋_GB2312" w:cs="Times New Roman"/>
      <w:sz w:val="18"/>
      <w:szCs w:val="18"/>
    </w:rPr>
  </w:style>
  <w:style w:type="character" w:customStyle="1" w:styleId="8">
    <w:name w:val="页脚 Char"/>
    <w:basedOn w:val="4"/>
    <w:link w:val="2"/>
    <w:uiPriority w:val="0"/>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theme" Target="theme/theme1.xml"/><Relationship Id="rId8" Type="http://schemas.openxmlformats.org/officeDocument/2006/relationships/image" Target="media/image1.png"/><Relationship Id="rId9"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879</Words>
  <Characters>5012</Characters>
  <Lines>41</Lines>
  <Paragraphs>11</Paragraphs>
  <ScaleCrop>false</ScaleCrop>
  <LinksUpToDate>false</LinksUpToDate>
  <CharactersWithSpaces>0</CharactersWithSpaces>
  <Application>WPS Office 个人版_9.1.0.4843_{F1E327BC-269C-435d-A152-05C5408002CA}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2014-08-28T09:09:00Z</dcterms:created>
  <dc:creator>dell</dc:creator>
  <cp:lastModifiedBy>dell</cp:lastModifiedBy>
  <cp:lastPrinted>2014-08-29T03:04:00Z</cp:lastPrinted>
  <dcterms:modified xsi:type="dcterms:W3CDTF">2014-09-10T11:24:12Z</dcterms:modified>
  <dc:title>郑州大学文件</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2052-9.1.0.4843</vt:lpwstr>
  </property>
</Properties>
</file>